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6287" w14:textId="67FA93B7" w:rsidR="004A3F96" w:rsidRPr="00A05F99" w:rsidRDefault="004A3F96" w:rsidP="00CB7322">
      <w:pPr>
        <w:spacing w:before="24"/>
        <w:ind w:right="-20"/>
        <w:rPr>
          <w:rFonts w:ascii="Verdana" w:eastAsia="Times New Roman" w:hAnsi="Verdana" w:cs="Times New Roman"/>
          <w:bCs/>
          <w:spacing w:val="2"/>
        </w:rPr>
      </w:pPr>
      <w:proofErr w:type="spellStart"/>
      <w:r w:rsidRPr="00A05F99">
        <w:rPr>
          <w:rFonts w:ascii="Verdana" w:eastAsia="Times New Roman" w:hAnsi="Verdana" w:cs="Times New Roman"/>
          <w:bCs/>
          <w:spacing w:val="2"/>
        </w:rPr>
        <w:t>UCare</w:t>
      </w:r>
      <w:r w:rsidR="00440BB7" w:rsidRPr="00A05F99">
        <w:rPr>
          <w:rFonts w:ascii="Verdana" w:eastAsia="Times New Roman" w:hAnsi="Verdana" w:cs="Times New Roman"/>
          <w:bCs/>
          <w:spacing w:val="2"/>
        </w:rPr>
        <w:t>’s</w:t>
      </w:r>
      <w:proofErr w:type="spellEnd"/>
      <w:r w:rsidRPr="00A05F99">
        <w:rPr>
          <w:rFonts w:ascii="Verdana" w:eastAsia="Times New Roman" w:hAnsi="Verdana" w:cs="Times New Roman"/>
          <w:bCs/>
          <w:spacing w:val="2"/>
        </w:rPr>
        <w:t xml:space="preserve"> Pharmacy and Therapeutics Committee (P&amp;T) is a group of physicians and pharmacists that meet throughout </w:t>
      </w:r>
      <w:r w:rsidR="00AD66FA" w:rsidRPr="00A05F99">
        <w:rPr>
          <w:rFonts w:ascii="Verdana" w:eastAsia="Times New Roman" w:hAnsi="Verdana" w:cs="Times New Roman"/>
          <w:bCs/>
          <w:spacing w:val="2"/>
        </w:rPr>
        <w:t>the year to make changes to UCare formularies</w:t>
      </w:r>
      <w:r w:rsidR="00875379" w:rsidRPr="00A05F99">
        <w:rPr>
          <w:rFonts w:ascii="Verdana" w:eastAsia="Times New Roman" w:hAnsi="Verdana" w:cs="Times New Roman"/>
          <w:bCs/>
          <w:spacing w:val="2"/>
        </w:rPr>
        <w:t xml:space="preserve"> (approved drug list). </w:t>
      </w:r>
      <w:r w:rsidRPr="00A05F99">
        <w:rPr>
          <w:rFonts w:ascii="Verdana" w:eastAsia="Times New Roman" w:hAnsi="Verdana" w:cs="Times New Roman"/>
          <w:bCs/>
          <w:spacing w:val="2"/>
        </w:rPr>
        <w:t>These changes are reviewed based on clinical evidence</w:t>
      </w:r>
      <w:r w:rsidR="0063466E" w:rsidRPr="00A05F99">
        <w:rPr>
          <w:rFonts w:ascii="Verdana" w:eastAsia="Times New Roman" w:hAnsi="Verdana" w:cs="Times New Roman"/>
          <w:bCs/>
          <w:spacing w:val="2"/>
        </w:rPr>
        <w:t xml:space="preserve">, safety, and </w:t>
      </w:r>
      <w:r w:rsidR="00875379" w:rsidRPr="00A05F99">
        <w:rPr>
          <w:rFonts w:ascii="Verdana" w:eastAsia="Times New Roman" w:hAnsi="Verdana" w:cs="Times New Roman"/>
          <w:bCs/>
          <w:spacing w:val="2"/>
        </w:rPr>
        <w:t xml:space="preserve">therapeutic guidelines. </w:t>
      </w:r>
      <w:r w:rsidRPr="00A05F99">
        <w:rPr>
          <w:rFonts w:ascii="Verdana" w:eastAsia="Times New Roman" w:hAnsi="Verdana" w:cs="Times New Roman"/>
          <w:bCs/>
          <w:spacing w:val="2"/>
        </w:rPr>
        <w:t xml:space="preserve">All changes that </w:t>
      </w:r>
      <w:r w:rsidR="0063466E" w:rsidRPr="00A05F99">
        <w:rPr>
          <w:rFonts w:ascii="Verdana" w:eastAsia="Times New Roman" w:hAnsi="Verdana" w:cs="Times New Roman"/>
          <w:bCs/>
          <w:spacing w:val="2"/>
        </w:rPr>
        <w:t xml:space="preserve">are </w:t>
      </w:r>
      <w:r w:rsidRPr="00A05F99">
        <w:rPr>
          <w:rFonts w:ascii="Verdana" w:eastAsia="Times New Roman" w:hAnsi="Verdana" w:cs="Times New Roman"/>
          <w:bCs/>
          <w:spacing w:val="2"/>
        </w:rPr>
        <w:t xml:space="preserve">recommended by P&amp;T </w:t>
      </w:r>
      <w:r w:rsidR="00CB7322" w:rsidRPr="00A05F99">
        <w:rPr>
          <w:rFonts w:ascii="Verdana" w:eastAsia="Times New Roman" w:hAnsi="Verdana" w:cs="Times New Roman"/>
          <w:bCs/>
          <w:spacing w:val="2"/>
        </w:rPr>
        <w:t xml:space="preserve">for the Medicare formularies </w:t>
      </w:r>
      <w:r w:rsidRPr="00A05F99">
        <w:rPr>
          <w:rFonts w:ascii="Verdana" w:eastAsia="Times New Roman" w:hAnsi="Verdana" w:cs="Times New Roman"/>
          <w:bCs/>
          <w:spacing w:val="2"/>
        </w:rPr>
        <w:t>are tentative un</w:t>
      </w:r>
      <w:r w:rsidR="00CB7322" w:rsidRPr="00A05F99">
        <w:rPr>
          <w:rFonts w:ascii="Verdana" w:eastAsia="Times New Roman" w:hAnsi="Verdana" w:cs="Times New Roman"/>
          <w:bCs/>
          <w:spacing w:val="2"/>
        </w:rPr>
        <w:t>til UCare receives final CMS approval.</w:t>
      </w:r>
    </w:p>
    <w:p w14:paraId="65087A81" w14:textId="77777777" w:rsidR="004A3F96" w:rsidRPr="00A05F99" w:rsidRDefault="004A3F96" w:rsidP="004A3F96">
      <w:pPr>
        <w:spacing w:before="24"/>
        <w:ind w:left="569" w:right="-20"/>
        <w:rPr>
          <w:rFonts w:ascii="Verdana" w:eastAsia="Times New Roman" w:hAnsi="Verdana" w:cs="Times New Roman"/>
          <w:bCs/>
          <w:spacing w:val="2"/>
        </w:rPr>
      </w:pPr>
    </w:p>
    <w:p w14:paraId="1150A02D" w14:textId="77777777" w:rsidR="00B81F89" w:rsidRPr="00A05F99" w:rsidRDefault="004A3F96" w:rsidP="00CB7322">
      <w:pPr>
        <w:spacing w:before="24"/>
        <w:ind w:right="-20"/>
        <w:rPr>
          <w:rFonts w:ascii="Verdana" w:eastAsia="Times New Roman" w:hAnsi="Verdana" w:cs="Times New Roman"/>
          <w:bCs/>
          <w:spacing w:val="2"/>
          <w:u w:val="single"/>
        </w:rPr>
      </w:pPr>
      <w:r w:rsidRPr="00A05F99">
        <w:rPr>
          <w:rFonts w:ascii="Verdana" w:eastAsia="Times New Roman" w:hAnsi="Verdana" w:cs="Times New Roman"/>
          <w:bCs/>
          <w:spacing w:val="2"/>
          <w:u w:val="single"/>
        </w:rPr>
        <w:t>Key:</w:t>
      </w:r>
    </w:p>
    <w:p w14:paraId="7EDBF446" w14:textId="712FB4C0" w:rsidR="0005632B" w:rsidRPr="00A05F99" w:rsidRDefault="00854C16" w:rsidP="00CB7322">
      <w:pPr>
        <w:spacing w:before="24"/>
        <w:ind w:right="-20"/>
        <w:rPr>
          <w:rFonts w:ascii="Verdana" w:eastAsia="Times New Roman" w:hAnsi="Verdana" w:cs="Times New Roman"/>
          <w:bCs/>
          <w:spacing w:val="2"/>
        </w:rPr>
      </w:pPr>
      <w:r>
        <w:rPr>
          <w:rFonts w:ascii="Verdana" w:eastAsia="Times New Roman" w:hAnsi="Verdana" w:cs="Times New Roman"/>
          <w:bCs/>
          <w:spacing w:val="2"/>
        </w:rPr>
        <w:t>Medical Assistance</w:t>
      </w:r>
      <w:r w:rsidR="00400E1D" w:rsidRPr="00A05F99">
        <w:rPr>
          <w:rFonts w:ascii="Verdana" w:eastAsia="Times New Roman" w:hAnsi="Verdana" w:cs="Times New Roman"/>
          <w:bCs/>
          <w:spacing w:val="2"/>
        </w:rPr>
        <w:t xml:space="preserve">: PMAP, </w:t>
      </w:r>
      <w:proofErr w:type="spellStart"/>
      <w:r w:rsidR="00400E1D" w:rsidRPr="00A05F99">
        <w:rPr>
          <w:rFonts w:ascii="Verdana" w:eastAsia="Times New Roman" w:hAnsi="Verdana" w:cs="Times New Roman"/>
          <w:bCs/>
          <w:spacing w:val="2"/>
        </w:rPr>
        <w:t>MnCare</w:t>
      </w:r>
      <w:proofErr w:type="spellEnd"/>
      <w:r w:rsidR="00400E1D" w:rsidRPr="00A05F99">
        <w:rPr>
          <w:rFonts w:ascii="Verdana" w:eastAsia="Times New Roman" w:hAnsi="Verdana" w:cs="Times New Roman"/>
          <w:bCs/>
          <w:spacing w:val="2"/>
        </w:rPr>
        <w:t>, MSC+ &amp; Connect</w:t>
      </w:r>
    </w:p>
    <w:p w14:paraId="6F77E887" w14:textId="5944DAAC" w:rsidR="00400E1D" w:rsidRPr="00A05F99" w:rsidRDefault="00400E1D" w:rsidP="00CB7322">
      <w:pPr>
        <w:spacing w:before="24"/>
        <w:ind w:right="-20"/>
        <w:rPr>
          <w:rFonts w:ascii="Verdana" w:eastAsia="Times New Roman" w:hAnsi="Verdana" w:cs="Times New Roman"/>
          <w:bCs/>
          <w:spacing w:val="2"/>
        </w:rPr>
      </w:pPr>
      <w:r w:rsidRPr="00A05F99">
        <w:rPr>
          <w:rFonts w:ascii="Verdana" w:eastAsia="Times New Roman" w:hAnsi="Verdana" w:cs="Times New Roman"/>
          <w:bCs/>
          <w:spacing w:val="2"/>
        </w:rPr>
        <w:t xml:space="preserve">Exchange: UCare </w:t>
      </w:r>
      <w:r w:rsidR="005A0F54" w:rsidRPr="00A05F99">
        <w:rPr>
          <w:rFonts w:ascii="Verdana" w:eastAsia="Times New Roman" w:hAnsi="Verdana" w:cs="Times New Roman"/>
          <w:bCs/>
          <w:spacing w:val="2"/>
        </w:rPr>
        <w:t>Individual and Family Plans</w:t>
      </w:r>
    </w:p>
    <w:p w14:paraId="4185E2F5" w14:textId="77777777" w:rsidR="00303B44" w:rsidRPr="00A05F99" w:rsidRDefault="00303B44" w:rsidP="00CB7322">
      <w:pPr>
        <w:spacing w:before="24"/>
        <w:ind w:right="-20"/>
        <w:rPr>
          <w:rFonts w:ascii="Verdana" w:eastAsia="Times New Roman" w:hAnsi="Verdana" w:cs="Times New Roman"/>
          <w:bCs/>
          <w:spacing w:val="2"/>
        </w:rPr>
      </w:pPr>
    </w:p>
    <w:p w14:paraId="7985106C" w14:textId="0A85FDAA" w:rsidR="004A3F96" w:rsidRPr="00A05F99" w:rsidRDefault="00303B44" w:rsidP="00CB7322">
      <w:pPr>
        <w:spacing w:before="24"/>
        <w:ind w:right="-20"/>
        <w:rPr>
          <w:rFonts w:ascii="Verdana" w:eastAsia="Times New Roman" w:hAnsi="Verdana" w:cs="Times New Roman"/>
          <w:bCs/>
          <w:spacing w:val="2"/>
        </w:rPr>
      </w:pPr>
      <w:r w:rsidRPr="00A05F99">
        <w:rPr>
          <w:rFonts w:ascii="Verdana" w:eastAsia="Times New Roman" w:hAnsi="Verdana" w:cs="Times New Roman"/>
          <w:bCs/>
          <w:spacing w:val="2"/>
        </w:rPr>
        <w:t>F</w:t>
      </w:r>
      <w:r w:rsidR="00347603" w:rsidRPr="00A05F99">
        <w:rPr>
          <w:rFonts w:ascii="Verdana" w:eastAsia="Times New Roman" w:hAnsi="Verdana" w:cs="Times New Roman"/>
          <w:bCs/>
          <w:spacing w:val="2"/>
        </w:rPr>
        <w:t xml:space="preserve">: </w:t>
      </w:r>
      <w:r w:rsidRPr="00A05F99">
        <w:rPr>
          <w:rFonts w:ascii="Verdana" w:eastAsia="Times New Roman" w:hAnsi="Verdana" w:cs="Times New Roman"/>
          <w:bCs/>
          <w:spacing w:val="2"/>
        </w:rPr>
        <w:t>Formulary</w:t>
      </w:r>
      <w:r w:rsidR="00B81F89" w:rsidRPr="00A05F99">
        <w:rPr>
          <w:rFonts w:ascii="Verdana" w:eastAsia="Times New Roman" w:hAnsi="Verdana" w:cs="Times New Roman"/>
          <w:bCs/>
          <w:spacing w:val="2"/>
        </w:rPr>
        <w:tab/>
      </w:r>
      <w:r w:rsidR="00B81F89" w:rsidRPr="00A05F99">
        <w:rPr>
          <w:rFonts w:ascii="Verdana" w:eastAsia="Times New Roman" w:hAnsi="Verdana" w:cs="Times New Roman"/>
          <w:bCs/>
          <w:spacing w:val="2"/>
        </w:rPr>
        <w:tab/>
      </w:r>
      <w:r w:rsidR="00B81F89" w:rsidRPr="00A05F99">
        <w:rPr>
          <w:rFonts w:ascii="Verdana" w:eastAsia="Times New Roman" w:hAnsi="Verdana" w:cs="Times New Roman"/>
          <w:bCs/>
          <w:spacing w:val="2"/>
        </w:rPr>
        <w:tab/>
      </w:r>
      <w:r w:rsidR="00B81F89" w:rsidRPr="00A05F99">
        <w:rPr>
          <w:rFonts w:ascii="Verdana" w:eastAsia="Times New Roman" w:hAnsi="Verdana" w:cs="Times New Roman"/>
          <w:bCs/>
          <w:spacing w:val="2"/>
        </w:rPr>
        <w:tab/>
      </w:r>
      <w:r w:rsidR="00B81F89" w:rsidRPr="00A05F99">
        <w:rPr>
          <w:rFonts w:ascii="Verdana" w:eastAsia="Times New Roman" w:hAnsi="Verdana" w:cs="Times New Roman"/>
          <w:bCs/>
          <w:spacing w:val="2"/>
        </w:rPr>
        <w:tab/>
      </w:r>
      <w:r w:rsidR="00B81F89" w:rsidRPr="00A05F99">
        <w:rPr>
          <w:rFonts w:ascii="Verdana" w:eastAsia="Times New Roman" w:hAnsi="Verdana" w:cs="Times New Roman"/>
          <w:bCs/>
          <w:spacing w:val="2"/>
        </w:rPr>
        <w:tab/>
      </w:r>
      <w:r w:rsidR="00B81F89" w:rsidRPr="00A05F99">
        <w:rPr>
          <w:rFonts w:ascii="Verdana" w:eastAsia="Times New Roman" w:hAnsi="Verdana" w:cs="Times New Roman"/>
          <w:bCs/>
          <w:spacing w:val="2"/>
        </w:rPr>
        <w:tab/>
      </w:r>
    </w:p>
    <w:p w14:paraId="00D3FA92" w14:textId="7173AA21" w:rsidR="00173929" w:rsidRPr="00A05F99" w:rsidRDefault="00173929" w:rsidP="00173929">
      <w:pPr>
        <w:spacing w:before="24"/>
        <w:ind w:right="-20"/>
        <w:rPr>
          <w:rFonts w:ascii="Verdana" w:eastAsia="Times New Roman" w:hAnsi="Verdana" w:cs="Times New Roman"/>
          <w:bCs/>
          <w:spacing w:val="2"/>
        </w:rPr>
      </w:pPr>
      <w:r w:rsidRPr="00A05F99">
        <w:rPr>
          <w:rFonts w:ascii="Verdana" w:eastAsia="Times New Roman" w:hAnsi="Verdana" w:cs="Times New Roman"/>
          <w:bCs/>
          <w:spacing w:val="2"/>
        </w:rPr>
        <w:t>NF</w:t>
      </w:r>
      <w:r w:rsidR="00347603" w:rsidRPr="00A05F99">
        <w:rPr>
          <w:rFonts w:ascii="Verdana" w:eastAsia="Times New Roman" w:hAnsi="Verdana" w:cs="Times New Roman"/>
          <w:bCs/>
          <w:spacing w:val="2"/>
        </w:rPr>
        <w:t xml:space="preserve">: </w:t>
      </w:r>
      <w:r w:rsidRPr="00A05F99">
        <w:rPr>
          <w:rFonts w:ascii="Verdana" w:eastAsia="Times New Roman" w:hAnsi="Verdana" w:cs="Times New Roman"/>
          <w:bCs/>
          <w:spacing w:val="2"/>
        </w:rPr>
        <w:t>Non-formulary</w:t>
      </w:r>
    </w:p>
    <w:p w14:paraId="5F4065EA" w14:textId="7C8229A1" w:rsidR="004934D4" w:rsidRPr="00A05F99" w:rsidRDefault="004934D4" w:rsidP="00844806">
      <w:pPr>
        <w:spacing w:before="24"/>
        <w:ind w:right="-20"/>
        <w:rPr>
          <w:rFonts w:ascii="Verdana" w:eastAsia="Times New Roman" w:hAnsi="Verdana" w:cs="Times New Roman"/>
          <w:bCs/>
          <w:spacing w:val="2"/>
        </w:rPr>
      </w:pPr>
      <w:r w:rsidRPr="00A05F99">
        <w:rPr>
          <w:rFonts w:ascii="Verdana" w:eastAsia="Times New Roman" w:hAnsi="Verdana" w:cs="Times New Roman"/>
          <w:bCs/>
          <w:spacing w:val="2"/>
        </w:rPr>
        <w:t>PA</w:t>
      </w:r>
      <w:r w:rsidR="00347603" w:rsidRPr="00A05F99">
        <w:rPr>
          <w:rFonts w:ascii="Verdana" w:eastAsia="Times New Roman" w:hAnsi="Verdana" w:cs="Times New Roman"/>
          <w:bCs/>
          <w:spacing w:val="2"/>
        </w:rPr>
        <w:t xml:space="preserve">: </w:t>
      </w:r>
      <w:r w:rsidRPr="00A05F99">
        <w:rPr>
          <w:rFonts w:ascii="Verdana" w:eastAsia="Times New Roman" w:hAnsi="Verdana" w:cs="Times New Roman"/>
          <w:bCs/>
          <w:spacing w:val="2"/>
        </w:rPr>
        <w:t xml:space="preserve">Prior Authorization </w:t>
      </w:r>
    </w:p>
    <w:p w14:paraId="2971532A" w14:textId="05202C80" w:rsidR="00844806" w:rsidRPr="00A05F99" w:rsidRDefault="004934D4" w:rsidP="00844806">
      <w:pPr>
        <w:spacing w:before="24"/>
        <w:ind w:right="-20"/>
        <w:rPr>
          <w:rFonts w:ascii="Verdana" w:eastAsia="Times New Roman" w:hAnsi="Verdana" w:cs="Times New Roman"/>
          <w:bCs/>
          <w:spacing w:val="2"/>
        </w:rPr>
      </w:pPr>
      <w:r w:rsidRPr="00A05F99">
        <w:rPr>
          <w:rFonts w:ascii="Verdana" w:eastAsia="Times New Roman" w:hAnsi="Verdana" w:cs="Times New Roman"/>
          <w:bCs/>
          <w:spacing w:val="2"/>
        </w:rPr>
        <w:t>QL</w:t>
      </w:r>
      <w:r w:rsidR="00347603" w:rsidRPr="00A05F99">
        <w:rPr>
          <w:rFonts w:ascii="Verdana" w:eastAsia="Times New Roman" w:hAnsi="Verdana" w:cs="Times New Roman"/>
          <w:bCs/>
          <w:spacing w:val="2"/>
        </w:rPr>
        <w:t xml:space="preserve">: </w:t>
      </w:r>
      <w:r w:rsidRPr="00A05F99">
        <w:rPr>
          <w:rFonts w:ascii="Verdana" w:eastAsia="Times New Roman" w:hAnsi="Verdana" w:cs="Times New Roman"/>
          <w:bCs/>
          <w:spacing w:val="2"/>
        </w:rPr>
        <w:t>Quantity Limit</w:t>
      </w:r>
      <w:r w:rsidRPr="00A05F99">
        <w:rPr>
          <w:rFonts w:ascii="Verdana" w:eastAsia="Times New Roman" w:hAnsi="Verdana" w:cs="Times New Roman"/>
          <w:bCs/>
          <w:spacing w:val="2"/>
        </w:rPr>
        <w:tab/>
      </w:r>
      <w:r w:rsidRPr="00A05F99">
        <w:rPr>
          <w:rFonts w:ascii="Verdana" w:eastAsia="Times New Roman" w:hAnsi="Verdana" w:cs="Times New Roman"/>
          <w:bCs/>
          <w:spacing w:val="2"/>
        </w:rPr>
        <w:tab/>
      </w:r>
      <w:r w:rsidRPr="00A05F99">
        <w:rPr>
          <w:rFonts w:ascii="Verdana" w:eastAsia="Times New Roman" w:hAnsi="Verdana" w:cs="Times New Roman"/>
          <w:bCs/>
          <w:spacing w:val="2"/>
        </w:rPr>
        <w:tab/>
      </w:r>
      <w:r w:rsidRPr="00A05F99">
        <w:rPr>
          <w:rFonts w:ascii="Verdana" w:eastAsia="Times New Roman" w:hAnsi="Verdana" w:cs="Times New Roman"/>
          <w:bCs/>
          <w:spacing w:val="2"/>
        </w:rPr>
        <w:tab/>
      </w:r>
      <w:r w:rsidRPr="00A05F99">
        <w:rPr>
          <w:rFonts w:ascii="Verdana" w:eastAsia="Times New Roman" w:hAnsi="Verdana" w:cs="Times New Roman"/>
          <w:bCs/>
          <w:spacing w:val="2"/>
        </w:rPr>
        <w:tab/>
      </w:r>
    </w:p>
    <w:p w14:paraId="495D3ADA" w14:textId="6D1B218A" w:rsidR="004934D4" w:rsidRPr="00A05F99" w:rsidRDefault="004934D4" w:rsidP="00844806">
      <w:pPr>
        <w:spacing w:before="24"/>
        <w:ind w:right="-20"/>
        <w:rPr>
          <w:rFonts w:ascii="Verdana" w:eastAsia="Times New Roman" w:hAnsi="Verdana" w:cs="Times New Roman"/>
          <w:bCs/>
          <w:spacing w:val="2"/>
        </w:rPr>
      </w:pPr>
      <w:r w:rsidRPr="00A05F99">
        <w:rPr>
          <w:rFonts w:ascii="Verdana" w:eastAsia="Times New Roman" w:hAnsi="Verdana" w:cs="Times New Roman"/>
          <w:bCs/>
          <w:spacing w:val="2"/>
        </w:rPr>
        <w:t>ST</w:t>
      </w:r>
      <w:r w:rsidR="00347603" w:rsidRPr="00A05F99">
        <w:rPr>
          <w:rFonts w:ascii="Verdana" w:eastAsia="Times New Roman" w:hAnsi="Verdana" w:cs="Times New Roman"/>
          <w:bCs/>
          <w:spacing w:val="2"/>
        </w:rPr>
        <w:t xml:space="preserve">: </w:t>
      </w:r>
      <w:r w:rsidRPr="00A05F99">
        <w:rPr>
          <w:rFonts w:ascii="Verdana" w:eastAsia="Times New Roman" w:hAnsi="Verdana" w:cs="Times New Roman"/>
          <w:bCs/>
          <w:spacing w:val="2"/>
        </w:rPr>
        <w:t>Step Therapy</w:t>
      </w:r>
    </w:p>
    <w:p w14:paraId="440A392E" w14:textId="63A1AAD7" w:rsidR="005E2989" w:rsidRDefault="005E2989" w:rsidP="00844806">
      <w:pPr>
        <w:spacing w:before="24"/>
        <w:ind w:right="-20"/>
        <w:rPr>
          <w:rFonts w:ascii="Verdana" w:eastAsia="Times New Roman" w:hAnsi="Verdana" w:cs="Times New Roman"/>
          <w:bCs/>
          <w:spacing w:val="2"/>
        </w:rPr>
      </w:pPr>
    </w:p>
    <w:tbl>
      <w:tblPr>
        <w:tblStyle w:val="LightList-Accent5"/>
        <w:tblW w:w="10890" w:type="dxa"/>
        <w:tblInd w:w="-9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10890"/>
      </w:tblGrid>
      <w:tr w:rsidR="004B4A2D" w:rsidRPr="00BA7E1A" w14:paraId="39A37783" w14:textId="77777777" w:rsidTr="004A4967">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890" w:type="dxa"/>
            <w:shd w:val="clear" w:color="auto" w:fill="00205B"/>
          </w:tcPr>
          <w:p w14:paraId="1C3508E8" w14:textId="27723C7B" w:rsidR="004B4A2D" w:rsidRPr="00852F8C" w:rsidRDefault="004B4A2D" w:rsidP="00FB392C">
            <w:pPr>
              <w:spacing w:after="240"/>
              <w:rPr>
                <w:rFonts w:ascii="Verdana" w:hAnsi="Verdana"/>
                <w:sz w:val="20"/>
                <w:szCs w:val="20"/>
              </w:rPr>
            </w:pPr>
            <w:r w:rsidRPr="00852F8C">
              <w:rPr>
                <w:rFonts w:ascii="Verdana" w:hAnsi="Verdana"/>
                <w:sz w:val="20"/>
                <w:szCs w:val="20"/>
              </w:rPr>
              <w:t xml:space="preserve">New </w:t>
            </w:r>
            <w:r w:rsidR="004A4967" w:rsidRPr="00852F8C">
              <w:rPr>
                <w:rFonts w:ascii="Verdana" w:hAnsi="Verdana"/>
                <w:sz w:val="20"/>
                <w:szCs w:val="20"/>
              </w:rPr>
              <w:t>Drug</w:t>
            </w:r>
            <w:r w:rsidRPr="00852F8C">
              <w:rPr>
                <w:rFonts w:ascii="Verdana" w:hAnsi="Verdana"/>
                <w:sz w:val="20"/>
                <w:szCs w:val="20"/>
              </w:rPr>
              <w:t xml:space="preserve"> Review </w:t>
            </w:r>
          </w:p>
        </w:tc>
      </w:tr>
    </w:tbl>
    <w:tbl>
      <w:tblPr>
        <w:tblStyle w:val="TableGrid"/>
        <w:tblW w:w="10890" w:type="dxa"/>
        <w:tblInd w:w="-95" w:type="dxa"/>
        <w:tblLayout w:type="fixed"/>
        <w:tblLook w:val="04A0" w:firstRow="1" w:lastRow="0" w:firstColumn="1" w:lastColumn="0" w:noHBand="0" w:noVBand="1"/>
      </w:tblPr>
      <w:tblGrid>
        <w:gridCol w:w="2970"/>
        <w:gridCol w:w="3330"/>
        <w:gridCol w:w="3150"/>
        <w:gridCol w:w="1440"/>
      </w:tblGrid>
      <w:tr w:rsidR="00E77836" w14:paraId="28A73A21" w14:textId="77777777" w:rsidTr="00B727CC">
        <w:tc>
          <w:tcPr>
            <w:tcW w:w="2970" w:type="dxa"/>
          </w:tcPr>
          <w:p w14:paraId="4F2C9E27" w14:textId="77777777" w:rsidR="004B4A2D" w:rsidRPr="00A05F99" w:rsidRDefault="004B4A2D" w:rsidP="00FB392C">
            <w:pPr>
              <w:spacing w:after="240"/>
              <w:rPr>
                <w:rFonts w:ascii="Verdana" w:hAnsi="Verdana"/>
              </w:rPr>
            </w:pPr>
            <w:r w:rsidRPr="00A05F99">
              <w:rPr>
                <w:rFonts w:ascii="Verdana" w:hAnsi="Verdana"/>
                <w:b/>
                <w:bCs/>
              </w:rPr>
              <w:t xml:space="preserve">Drug </w:t>
            </w:r>
          </w:p>
        </w:tc>
        <w:tc>
          <w:tcPr>
            <w:tcW w:w="3330" w:type="dxa"/>
          </w:tcPr>
          <w:p w14:paraId="7DBC1588" w14:textId="492A40AC" w:rsidR="004B4A2D" w:rsidRPr="00A05F99" w:rsidRDefault="004B4A2D" w:rsidP="00FB392C">
            <w:pPr>
              <w:spacing w:after="240"/>
              <w:rPr>
                <w:rFonts w:ascii="Verdana" w:hAnsi="Verdana"/>
              </w:rPr>
            </w:pPr>
            <w:r w:rsidRPr="00A05F99">
              <w:rPr>
                <w:rFonts w:ascii="Verdana" w:hAnsi="Verdana"/>
                <w:b/>
                <w:bCs/>
              </w:rPr>
              <w:t>Indication</w:t>
            </w:r>
          </w:p>
        </w:tc>
        <w:tc>
          <w:tcPr>
            <w:tcW w:w="3150" w:type="dxa"/>
          </w:tcPr>
          <w:p w14:paraId="6E42E2D8" w14:textId="302EC425" w:rsidR="004B4A2D" w:rsidRPr="00A05F99" w:rsidRDefault="004B4A2D" w:rsidP="00FB392C">
            <w:pPr>
              <w:spacing w:after="240"/>
              <w:rPr>
                <w:rFonts w:ascii="Verdana" w:hAnsi="Verdana"/>
                <w:b/>
                <w:bCs/>
              </w:rPr>
            </w:pPr>
            <w:r w:rsidRPr="00A05F99">
              <w:rPr>
                <w:rFonts w:ascii="Verdana" w:hAnsi="Verdana"/>
                <w:b/>
                <w:bCs/>
              </w:rPr>
              <w:t>Formulary Coverage</w:t>
            </w:r>
          </w:p>
        </w:tc>
        <w:tc>
          <w:tcPr>
            <w:tcW w:w="1440" w:type="dxa"/>
          </w:tcPr>
          <w:p w14:paraId="3392FAAB" w14:textId="66DD6409" w:rsidR="004B4A2D" w:rsidRPr="00A05F99" w:rsidRDefault="004B4A2D" w:rsidP="00FB392C">
            <w:pPr>
              <w:spacing w:after="240"/>
              <w:rPr>
                <w:rFonts w:ascii="Verdana" w:hAnsi="Verdana"/>
              </w:rPr>
            </w:pPr>
            <w:r w:rsidRPr="00A05F99">
              <w:rPr>
                <w:rFonts w:ascii="Verdana" w:hAnsi="Verdana"/>
                <w:b/>
                <w:bCs/>
              </w:rPr>
              <w:t>Effective Date</w:t>
            </w:r>
          </w:p>
        </w:tc>
      </w:tr>
      <w:tr w:rsidR="0073594F" w:rsidRPr="00852F8C" w14:paraId="2427BC04" w14:textId="77777777" w:rsidTr="00B727CC">
        <w:tc>
          <w:tcPr>
            <w:tcW w:w="2970" w:type="dxa"/>
          </w:tcPr>
          <w:p w14:paraId="326DCCD2" w14:textId="417EC1DB" w:rsidR="0073594F" w:rsidRPr="00413044" w:rsidRDefault="002543A7" w:rsidP="0073594F">
            <w:pPr>
              <w:rPr>
                <w:rFonts w:ascii="Verdana" w:hAnsi="Verdana" w:cs="Arial"/>
                <w:bCs/>
              </w:rPr>
            </w:pPr>
            <w:proofErr w:type="spellStart"/>
            <w:r w:rsidRPr="009146AC">
              <w:rPr>
                <w:rFonts w:ascii="Verdana" w:hAnsi="Verdana" w:cs="Arial"/>
                <w:b/>
              </w:rPr>
              <w:t>Andembry</w:t>
            </w:r>
            <w:proofErr w:type="spellEnd"/>
            <w:r w:rsidRPr="009146AC">
              <w:rPr>
                <w:rFonts w:ascii="Verdana" w:hAnsi="Verdana" w:cs="Arial"/>
                <w:b/>
              </w:rPr>
              <w:t xml:space="preserve"> (</w:t>
            </w:r>
            <w:proofErr w:type="spellStart"/>
            <w:r w:rsidRPr="009146AC">
              <w:rPr>
                <w:rFonts w:ascii="Verdana" w:hAnsi="Verdana" w:cs="Arial"/>
                <w:b/>
              </w:rPr>
              <w:t>garadacimab-gxii</w:t>
            </w:r>
            <w:proofErr w:type="spellEnd"/>
            <w:r w:rsidRPr="009146AC">
              <w:rPr>
                <w:rFonts w:ascii="Verdana" w:hAnsi="Verdana" w:cs="Arial"/>
                <w:b/>
              </w:rPr>
              <w:t>)</w:t>
            </w:r>
          </w:p>
        </w:tc>
        <w:tc>
          <w:tcPr>
            <w:tcW w:w="3330" w:type="dxa"/>
          </w:tcPr>
          <w:p w14:paraId="39575D0C" w14:textId="69E62B5F" w:rsidR="0073594F" w:rsidRPr="00837406" w:rsidRDefault="002543A7" w:rsidP="0073594F">
            <w:pPr>
              <w:rPr>
                <w:rFonts w:ascii="Verdana" w:hAnsi="Verdana"/>
                <w:sz w:val="20"/>
                <w:szCs w:val="20"/>
                <w:u w:val="single"/>
              </w:rPr>
            </w:pPr>
            <w:r>
              <w:rPr>
                <w:rFonts w:ascii="Verdana" w:hAnsi="Verdana" w:cstheme="minorHAnsi"/>
                <w:iCs/>
              </w:rPr>
              <w:t>P</w:t>
            </w:r>
            <w:r w:rsidRPr="009146AC">
              <w:rPr>
                <w:rFonts w:ascii="Verdana" w:hAnsi="Verdana" w:cstheme="minorHAnsi"/>
                <w:iCs/>
              </w:rPr>
              <w:t>revent attacks of hereditary angioedema (HAE) in adult and pediatric patients aged 12 years and older</w:t>
            </w:r>
          </w:p>
        </w:tc>
        <w:tc>
          <w:tcPr>
            <w:tcW w:w="3150" w:type="dxa"/>
          </w:tcPr>
          <w:p w14:paraId="4EFFAFC9" w14:textId="77777777" w:rsidR="00CF74B0" w:rsidRPr="00B727CC" w:rsidRDefault="00CF74B0" w:rsidP="00CF74B0">
            <w:pPr>
              <w:rPr>
                <w:rFonts w:ascii="Verdana" w:hAnsi="Verdana"/>
              </w:rPr>
            </w:pPr>
            <w:r>
              <w:rPr>
                <w:rFonts w:ascii="Verdana" w:hAnsi="Verdana"/>
              </w:rPr>
              <w:t>Medical Assistance: Non-Formulary</w:t>
            </w:r>
            <w:r>
              <w:rPr>
                <w:rFonts w:ascii="Verdana" w:hAnsi="Verdana"/>
              </w:rPr>
              <w:br/>
              <w:t xml:space="preserve">Exchange: Non-Formulary </w:t>
            </w:r>
          </w:p>
          <w:p w14:paraId="44B475AE" w14:textId="20D84793" w:rsidR="0073594F" w:rsidRPr="00C22D05" w:rsidRDefault="0073594F" w:rsidP="0073594F"/>
        </w:tc>
        <w:tc>
          <w:tcPr>
            <w:tcW w:w="1440" w:type="dxa"/>
          </w:tcPr>
          <w:p w14:paraId="00B112B8" w14:textId="78B85DD8" w:rsidR="0073594F" w:rsidRPr="00B727CC" w:rsidRDefault="0073594F" w:rsidP="0073594F">
            <w:pPr>
              <w:rPr>
                <w:rFonts w:ascii="Verdana" w:eastAsia="Times New Roman" w:hAnsi="Verdana" w:cs="Arial"/>
              </w:rPr>
            </w:pPr>
            <w:r w:rsidRPr="00B727CC">
              <w:rPr>
                <w:rFonts w:ascii="Verdana" w:eastAsia="Times New Roman" w:hAnsi="Verdana" w:cs="Arial"/>
              </w:rPr>
              <w:t>NA</w:t>
            </w:r>
          </w:p>
        </w:tc>
      </w:tr>
      <w:tr w:rsidR="0073594F" w:rsidRPr="00852F8C" w14:paraId="12F2BC56" w14:textId="77777777" w:rsidTr="00B727CC">
        <w:tc>
          <w:tcPr>
            <w:tcW w:w="2970" w:type="dxa"/>
          </w:tcPr>
          <w:p w14:paraId="2364AE83" w14:textId="56993F93" w:rsidR="0073594F" w:rsidRPr="00413044" w:rsidRDefault="002543A7" w:rsidP="0073594F">
            <w:pPr>
              <w:rPr>
                <w:rFonts w:ascii="Verdana" w:hAnsi="Verdana" w:cs="Arial"/>
                <w:bCs/>
              </w:rPr>
            </w:pPr>
            <w:proofErr w:type="spellStart"/>
            <w:r w:rsidRPr="009146AC">
              <w:rPr>
                <w:rFonts w:ascii="Verdana" w:hAnsi="Verdana" w:cs="Arial"/>
                <w:b/>
              </w:rPr>
              <w:t>Dawnzera</w:t>
            </w:r>
            <w:proofErr w:type="spellEnd"/>
            <w:r w:rsidRPr="009146AC">
              <w:rPr>
                <w:rFonts w:ascii="Verdana" w:hAnsi="Verdana" w:cs="Arial"/>
                <w:b/>
              </w:rPr>
              <w:t xml:space="preserve"> (</w:t>
            </w:r>
            <w:proofErr w:type="spellStart"/>
            <w:r w:rsidRPr="009146AC">
              <w:rPr>
                <w:rFonts w:ascii="Verdana" w:hAnsi="Verdana" w:cs="Arial"/>
                <w:b/>
              </w:rPr>
              <w:t>donidalorsen</w:t>
            </w:r>
            <w:proofErr w:type="spellEnd"/>
            <w:r w:rsidRPr="009146AC">
              <w:rPr>
                <w:rFonts w:ascii="Verdana" w:hAnsi="Verdana" w:cs="Arial"/>
                <w:b/>
              </w:rPr>
              <w:t>)</w:t>
            </w:r>
          </w:p>
        </w:tc>
        <w:tc>
          <w:tcPr>
            <w:tcW w:w="3330" w:type="dxa"/>
          </w:tcPr>
          <w:p w14:paraId="68879A63" w14:textId="4A4B95A5" w:rsidR="0073594F" w:rsidRPr="005A5771" w:rsidRDefault="002543A7" w:rsidP="0073594F">
            <w:pPr>
              <w:rPr>
                <w:rFonts w:ascii="Verdana" w:hAnsi="Verdana"/>
                <w:b/>
                <w:u w:val="single"/>
              </w:rPr>
            </w:pPr>
            <w:r>
              <w:rPr>
                <w:rFonts w:ascii="Verdana" w:hAnsi="Verdana" w:cstheme="minorHAnsi"/>
                <w:iCs/>
              </w:rPr>
              <w:t>P</w:t>
            </w:r>
            <w:r w:rsidRPr="009146AC">
              <w:rPr>
                <w:rFonts w:ascii="Verdana" w:hAnsi="Verdana" w:cstheme="minorHAnsi"/>
                <w:iCs/>
              </w:rPr>
              <w:t>revent attacks of hereditary angioedema (HAE) in adult and pediatric patients aged 12 years and older</w:t>
            </w:r>
          </w:p>
        </w:tc>
        <w:tc>
          <w:tcPr>
            <w:tcW w:w="3150" w:type="dxa"/>
          </w:tcPr>
          <w:p w14:paraId="51661EE1" w14:textId="77777777" w:rsidR="002543A7" w:rsidRPr="00B727CC" w:rsidRDefault="002543A7" w:rsidP="002543A7">
            <w:pPr>
              <w:rPr>
                <w:rFonts w:ascii="Verdana" w:hAnsi="Verdana"/>
              </w:rPr>
            </w:pPr>
            <w:r>
              <w:rPr>
                <w:rFonts w:ascii="Verdana" w:hAnsi="Verdana"/>
              </w:rPr>
              <w:t>Medical Assistance: Non-Formulary</w:t>
            </w:r>
            <w:r>
              <w:rPr>
                <w:rFonts w:ascii="Verdana" w:hAnsi="Verdana"/>
              </w:rPr>
              <w:br/>
              <w:t xml:space="preserve">Exchange: Non-Formulary </w:t>
            </w:r>
          </w:p>
          <w:p w14:paraId="38B94024" w14:textId="500FF5A0" w:rsidR="0073594F" w:rsidRPr="00B727CC" w:rsidRDefault="0073594F" w:rsidP="0073594F">
            <w:pPr>
              <w:rPr>
                <w:rFonts w:ascii="Verdana" w:hAnsi="Verdana"/>
              </w:rPr>
            </w:pPr>
          </w:p>
        </w:tc>
        <w:tc>
          <w:tcPr>
            <w:tcW w:w="1440" w:type="dxa"/>
          </w:tcPr>
          <w:p w14:paraId="27DAE0E7" w14:textId="7D393568" w:rsidR="0073594F" w:rsidRPr="00B727CC" w:rsidRDefault="005A5771" w:rsidP="0073594F">
            <w:pPr>
              <w:rPr>
                <w:rFonts w:ascii="Verdana" w:eastAsia="Times New Roman" w:hAnsi="Verdana" w:cs="Arial"/>
              </w:rPr>
            </w:pPr>
            <w:r w:rsidRPr="00B727CC">
              <w:rPr>
                <w:rFonts w:ascii="Verdana" w:eastAsia="Times New Roman" w:hAnsi="Verdana" w:cs="Arial"/>
              </w:rPr>
              <w:t>NA</w:t>
            </w:r>
          </w:p>
        </w:tc>
      </w:tr>
      <w:tr w:rsidR="0073594F" w:rsidRPr="00852F8C" w14:paraId="244883DA" w14:textId="77777777" w:rsidTr="00B727CC">
        <w:tc>
          <w:tcPr>
            <w:tcW w:w="2970" w:type="dxa"/>
          </w:tcPr>
          <w:p w14:paraId="052FEE7C" w14:textId="162EC030" w:rsidR="00330E7F" w:rsidRPr="00413044" w:rsidRDefault="002543A7" w:rsidP="0073594F">
            <w:pPr>
              <w:rPr>
                <w:rFonts w:ascii="Verdana" w:eastAsia="Times New Roman" w:hAnsi="Verdana" w:cs="Arial"/>
                <w:bCs/>
                <w:sz w:val="20"/>
                <w:szCs w:val="20"/>
              </w:rPr>
            </w:pPr>
            <w:proofErr w:type="spellStart"/>
            <w:r w:rsidRPr="009146AC">
              <w:rPr>
                <w:rFonts w:ascii="Verdana" w:hAnsi="Verdana" w:cs="Arial"/>
                <w:b/>
              </w:rPr>
              <w:t>Anzupgo</w:t>
            </w:r>
            <w:proofErr w:type="spellEnd"/>
            <w:r w:rsidRPr="009146AC">
              <w:rPr>
                <w:rFonts w:ascii="Verdana" w:hAnsi="Verdana" w:cs="Arial"/>
                <w:b/>
              </w:rPr>
              <w:t xml:space="preserve"> (</w:t>
            </w:r>
            <w:proofErr w:type="spellStart"/>
            <w:r w:rsidRPr="009146AC">
              <w:rPr>
                <w:rFonts w:ascii="Verdana" w:hAnsi="Verdana" w:cs="Arial"/>
                <w:b/>
              </w:rPr>
              <w:t>delgocitinib</w:t>
            </w:r>
            <w:proofErr w:type="spellEnd"/>
            <w:r w:rsidRPr="009146AC">
              <w:rPr>
                <w:rFonts w:ascii="Verdana" w:hAnsi="Verdana" w:cs="Arial"/>
                <w:b/>
              </w:rPr>
              <w:t>)</w:t>
            </w:r>
          </w:p>
        </w:tc>
        <w:tc>
          <w:tcPr>
            <w:tcW w:w="3330" w:type="dxa"/>
          </w:tcPr>
          <w:p w14:paraId="1ADCCA37" w14:textId="13039537" w:rsidR="0073594F" w:rsidRPr="00E8257D" w:rsidRDefault="002543A7" w:rsidP="0073594F">
            <w:pPr>
              <w:rPr>
                <w:rFonts w:ascii="Verdana" w:hAnsi="Verdana" w:cstheme="minorHAnsi"/>
              </w:rPr>
            </w:pPr>
            <w:r>
              <w:rPr>
                <w:rFonts w:ascii="Verdana" w:hAnsi="Verdana"/>
                <w:bCs/>
              </w:rPr>
              <w:t>M</w:t>
            </w:r>
            <w:r w:rsidRPr="009146AC">
              <w:rPr>
                <w:rFonts w:ascii="Verdana" w:hAnsi="Verdana"/>
                <w:bCs/>
              </w:rPr>
              <w:t>oderate to severe chronic hand eczema (CHE) in adults who have an inadequate response to, or for whom topical corticosteroids are not advisable</w:t>
            </w:r>
          </w:p>
        </w:tc>
        <w:tc>
          <w:tcPr>
            <w:tcW w:w="3150" w:type="dxa"/>
          </w:tcPr>
          <w:p w14:paraId="61065DB0" w14:textId="77777777" w:rsidR="002543A7" w:rsidRPr="00B727CC" w:rsidRDefault="002543A7" w:rsidP="002543A7">
            <w:pPr>
              <w:rPr>
                <w:rFonts w:ascii="Verdana" w:hAnsi="Verdana"/>
              </w:rPr>
            </w:pPr>
            <w:r>
              <w:rPr>
                <w:rFonts w:ascii="Verdana" w:hAnsi="Verdana"/>
              </w:rPr>
              <w:t>Medical Assistance: Non-Formulary</w:t>
            </w:r>
            <w:r>
              <w:rPr>
                <w:rFonts w:ascii="Verdana" w:hAnsi="Verdana"/>
              </w:rPr>
              <w:br/>
              <w:t xml:space="preserve">Exchange: Non-Formulary </w:t>
            </w:r>
          </w:p>
          <w:p w14:paraId="34C32304" w14:textId="205CA4AD" w:rsidR="0073594F" w:rsidRPr="00B727CC" w:rsidRDefault="0073594F" w:rsidP="00F11DC6">
            <w:pPr>
              <w:pStyle w:val="NoSpacing"/>
              <w:rPr>
                <w:rFonts w:ascii="Verdana" w:hAnsi="Verdana"/>
              </w:rPr>
            </w:pPr>
          </w:p>
        </w:tc>
        <w:tc>
          <w:tcPr>
            <w:tcW w:w="1440" w:type="dxa"/>
          </w:tcPr>
          <w:p w14:paraId="5CB19907" w14:textId="16C2E00D" w:rsidR="0073594F" w:rsidRPr="00B727CC" w:rsidRDefault="005A5771" w:rsidP="0073594F">
            <w:pPr>
              <w:rPr>
                <w:rFonts w:ascii="Verdana" w:eastAsia="Times New Roman" w:hAnsi="Verdana" w:cs="Arial"/>
              </w:rPr>
            </w:pPr>
            <w:r w:rsidRPr="00B727CC">
              <w:rPr>
                <w:rFonts w:ascii="Verdana" w:eastAsia="Times New Roman" w:hAnsi="Verdana" w:cs="Arial"/>
              </w:rPr>
              <w:t>NA</w:t>
            </w:r>
          </w:p>
        </w:tc>
      </w:tr>
      <w:tr w:rsidR="0073594F" w:rsidRPr="00852F8C" w14:paraId="4EE1C15E" w14:textId="77777777" w:rsidTr="00B727CC">
        <w:tc>
          <w:tcPr>
            <w:tcW w:w="2970" w:type="dxa"/>
          </w:tcPr>
          <w:p w14:paraId="78D228E7" w14:textId="0F1537A2" w:rsidR="00330E7F" w:rsidRPr="00413044" w:rsidRDefault="002543A7" w:rsidP="0073594F">
            <w:pPr>
              <w:rPr>
                <w:rFonts w:ascii="Verdana" w:eastAsia="Times New Roman" w:hAnsi="Verdana" w:cs="Arial"/>
                <w:bCs/>
                <w:sz w:val="20"/>
                <w:szCs w:val="20"/>
              </w:rPr>
            </w:pPr>
            <w:proofErr w:type="spellStart"/>
            <w:r w:rsidRPr="009146AC">
              <w:rPr>
                <w:rFonts w:ascii="Verdana" w:hAnsi="Verdana" w:cs="Arial"/>
                <w:b/>
              </w:rPr>
              <w:t>Brinsupri</w:t>
            </w:r>
            <w:proofErr w:type="spellEnd"/>
            <w:r w:rsidRPr="009146AC">
              <w:rPr>
                <w:rFonts w:ascii="Verdana" w:hAnsi="Verdana" w:cs="Arial"/>
                <w:b/>
              </w:rPr>
              <w:t xml:space="preserve"> (</w:t>
            </w:r>
            <w:proofErr w:type="spellStart"/>
            <w:r w:rsidRPr="009146AC">
              <w:rPr>
                <w:rFonts w:ascii="Verdana" w:hAnsi="Verdana" w:cs="Arial"/>
                <w:b/>
              </w:rPr>
              <w:t>brensocatib</w:t>
            </w:r>
            <w:proofErr w:type="spellEnd"/>
            <w:r w:rsidRPr="009146AC">
              <w:rPr>
                <w:rFonts w:ascii="Verdana" w:hAnsi="Verdana" w:cs="Arial"/>
                <w:b/>
              </w:rPr>
              <w:t>)</w:t>
            </w:r>
          </w:p>
        </w:tc>
        <w:tc>
          <w:tcPr>
            <w:tcW w:w="3330" w:type="dxa"/>
          </w:tcPr>
          <w:p w14:paraId="31782812" w14:textId="109B75DA" w:rsidR="0073594F" w:rsidRPr="00F6467A" w:rsidRDefault="002543A7" w:rsidP="0073594F">
            <w:pPr>
              <w:rPr>
                <w:rFonts w:ascii="Verdana" w:hAnsi="Verdana"/>
                <w:bCs/>
              </w:rPr>
            </w:pPr>
            <w:r>
              <w:rPr>
                <w:rFonts w:ascii="Verdana" w:hAnsi="Verdana" w:cstheme="minorHAnsi"/>
                <w:iCs/>
              </w:rPr>
              <w:t>N</w:t>
            </w:r>
            <w:r w:rsidRPr="009146AC">
              <w:rPr>
                <w:rFonts w:ascii="Verdana" w:hAnsi="Verdana" w:cstheme="minorHAnsi"/>
                <w:iCs/>
              </w:rPr>
              <w:t>on-cystic fibrosis bronchiectasis (NCFB) in adult and pediatric patients ≥12 years</w:t>
            </w:r>
          </w:p>
        </w:tc>
        <w:tc>
          <w:tcPr>
            <w:tcW w:w="3150" w:type="dxa"/>
          </w:tcPr>
          <w:p w14:paraId="219B25B3" w14:textId="77777777" w:rsidR="002543A7" w:rsidRPr="00B727CC" w:rsidRDefault="002543A7" w:rsidP="002543A7">
            <w:pPr>
              <w:rPr>
                <w:rFonts w:ascii="Verdana" w:hAnsi="Verdana"/>
              </w:rPr>
            </w:pPr>
            <w:r>
              <w:rPr>
                <w:rFonts w:ascii="Verdana" w:hAnsi="Verdana"/>
              </w:rPr>
              <w:t>Medical Assistance: Non-Formulary</w:t>
            </w:r>
            <w:r>
              <w:rPr>
                <w:rFonts w:ascii="Verdana" w:hAnsi="Verdana"/>
              </w:rPr>
              <w:br/>
              <w:t xml:space="preserve">Exchange: Non-Formulary </w:t>
            </w:r>
          </w:p>
          <w:p w14:paraId="69A601A5" w14:textId="77777777" w:rsidR="0073594F" w:rsidRPr="00B727CC" w:rsidRDefault="0073594F" w:rsidP="00F11DC6">
            <w:pPr>
              <w:pStyle w:val="NoSpacing"/>
              <w:rPr>
                <w:rFonts w:ascii="Verdana" w:hAnsi="Verdana"/>
              </w:rPr>
            </w:pPr>
          </w:p>
        </w:tc>
        <w:tc>
          <w:tcPr>
            <w:tcW w:w="1440" w:type="dxa"/>
          </w:tcPr>
          <w:p w14:paraId="2099FF3E" w14:textId="4D1A2392" w:rsidR="0073594F" w:rsidRPr="00B727CC" w:rsidRDefault="005A5771" w:rsidP="0073594F">
            <w:pPr>
              <w:rPr>
                <w:rFonts w:ascii="Verdana" w:hAnsi="Verdana"/>
              </w:rPr>
            </w:pPr>
            <w:r w:rsidRPr="00B727CC">
              <w:rPr>
                <w:rFonts w:ascii="Verdana" w:eastAsia="Times New Roman" w:hAnsi="Verdana" w:cs="Arial"/>
              </w:rPr>
              <w:t>NA</w:t>
            </w:r>
          </w:p>
        </w:tc>
      </w:tr>
      <w:tr w:rsidR="003E5867" w:rsidRPr="00852F8C" w14:paraId="20D0C506" w14:textId="77777777" w:rsidTr="00B727CC">
        <w:tc>
          <w:tcPr>
            <w:tcW w:w="2970" w:type="dxa"/>
          </w:tcPr>
          <w:p w14:paraId="07089E0F" w14:textId="5F3E98FF" w:rsidR="005A5771" w:rsidRPr="00413044" w:rsidRDefault="002543A7" w:rsidP="00E8257D">
            <w:pPr>
              <w:rPr>
                <w:rFonts w:ascii="Verdana" w:hAnsi="Verdana"/>
                <w:bCs/>
                <w:sz w:val="20"/>
                <w:szCs w:val="20"/>
              </w:rPr>
            </w:pPr>
            <w:proofErr w:type="spellStart"/>
            <w:r w:rsidRPr="009146AC">
              <w:rPr>
                <w:rFonts w:ascii="Verdana" w:hAnsi="Verdana" w:cs="Arial"/>
                <w:b/>
              </w:rPr>
              <w:t>Leqselvi</w:t>
            </w:r>
            <w:proofErr w:type="spellEnd"/>
            <w:r w:rsidRPr="009146AC">
              <w:rPr>
                <w:rFonts w:ascii="Verdana" w:hAnsi="Verdana" w:cs="Arial"/>
                <w:b/>
              </w:rPr>
              <w:t xml:space="preserve"> (</w:t>
            </w:r>
            <w:proofErr w:type="spellStart"/>
            <w:r w:rsidRPr="009146AC">
              <w:rPr>
                <w:rFonts w:ascii="Verdana" w:hAnsi="Verdana" w:cs="Arial"/>
                <w:b/>
              </w:rPr>
              <w:t>deuruxolitinib</w:t>
            </w:r>
            <w:proofErr w:type="spellEnd"/>
            <w:r w:rsidRPr="009146AC">
              <w:rPr>
                <w:rFonts w:ascii="Verdana" w:hAnsi="Verdana" w:cs="Arial"/>
                <w:b/>
              </w:rPr>
              <w:t>)</w:t>
            </w:r>
          </w:p>
        </w:tc>
        <w:tc>
          <w:tcPr>
            <w:tcW w:w="3330" w:type="dxa"/>
          </w:tcPr>
          <w:p w14:paraId="70A454CD" w14:textId="32859E79" w:rsidR="003E5867" w:rsidRPr="00B01345" w:rsidRDefault="002543A7" w:rsidP="003E5867">
            <w:pPr>
              <w:rPr>
                <w:rFonts w:ascii="Verdana" w:hAnsi="Verdana" w:cstheme="minorHAnsi"/>
                <w:sz w:val="20"/>
                <w:szCs w:val="20"/>
              </w:rPr>
            </w:pPr>
            <w:r>
              <w:rPr>
                <w:rFonts w:ascii="Verdana" w:hAnsi="Verdana" w:cstheme="minorHAnsi"/>
                <w:iCs/>
              </w:rPr>
              <w:t>T</w:t>
            </w:r>
            <w:r w:rsidRPr="009146AC">
              <w:rPr>
                <w:rFonts w:ascii="Verdana" w:hAnsi="Verdana" w:cstheme="minorHAnsi"/>
                <w:iCs/>
              </w:rPr>
              <w:t>reatment of adult patients with severe alopecia areata (AA)</w:t>
            </w:r>
          </w:p>
        </w:tc>
        <w:tc>
          <w:tcPr>
            <w:tcW w:w="3150" w:type="dxa"/>
          </w:tcPr>
          <w:p w14:paraId="6B5634E1" w14:textId="32280555" w:rsidR="003E5867" w:rsidRPr="00B727CC" w:rsidRDefault="002543A7" w:rsidP="00CB5DD3">
            <w:pPr>
              <w:rPr>
                <w:rFonts w:ascii="Verdana" w:hAnsi="Verdana"/>
              </w:rPr>
            </w:pPr>
            <w:r>
              <w:rPr>
                <w:rFonts w:ascii="Verdana" w:hAnsi="Verdana"/>
              </w:rPr>
              <w:t>Medical Assistance: Non-Formulary</w:t>
            </w:r>
            <w:r>
              <w:rPr>
                <w:rFonts w:ascii="Verdana" w:hAnsi="Verdana"/>
              </w:rPr>
              <w:br/>
              <w:t xml:space="preserve">Exchange: Non-Formulary </w:t>
            </w:r>
          </w:p>
        </w:tc>
        <w:tc>
          <w:tcPr>
            <w:tcW w:w="1440" w:type="dxa"/>
          </w:tcPr>
          <w:p w14:paraId="6537980B" w14:textId="7ED37180" w:rsidR="003E5867" w:rsidRPr="00B727CC" w:rsidRDefault="005A5771" w:rsidP="003E5867">
            <w:pPr>
              <w:rPr>
                <w:rFonts w:ascii="Verdana" w:hAnsi="Verdana"/>
              </w:rPr>
            </w:pPr>
            <w:r w:rsidRPr="00B727CC">
              <w:rPr>
                <w:rFonts w:ascii="Verdana" w:eastAsia="Times New Roman" w:hAnsi="Verdana" w:cs="Arial"/>
              </w:rPr>
              <w:t>NA</w:t>
            </w:r>
          </w:p>
        </w:tc>
      </w:tr>
      <w:tr w:rsidR="005A5771" w:rsidRPr="00852F8C" w14:paraId="2F8EE3BE" w14:textId="77777777" w:rsidTr="00B727CC">
        <w:tc>
          <w:tcPr>
            <w:tcW w:w="2970" w:type="dxa"/>
          </w:tcPr>
          <w:p w14:paraId="54A24F44" w14:textId="29FDABAB" w:rsidR="005A5771" w:rsidRPr="00413044" w:rsidRDefault="002543A7" w:rsidP="003E5867">
            <w:pPr>
              <w:rPr>
                <w:rFonts w:ascii="Verdana" w:hAnsi="Verdana" w:cs="Arial"/>
                <w:bCs/>
              </w:rPr>
            </w:pPr>
            <w:proofErr w:type="spellStart"/>
            <w:r w:rsidRPr="009146AC">
              <w:rPr>
                <w:rFonts w:ascii="Verdana" w:hAnsi="Verdana" w:cs="Arial"/>
                <w:b/>
              </w:rPr>
              <w:lastRenderedPageBreak/>
              <w:t>Modeyso</w:t>
            </w:r>
            <w:proofErr w:type="spellEnd"/>
            <w:r w:rsidRPr="009146AC">
              <w:rPr>
                <w:rFonts w:ascii="Verdana" w:hAnsi="Verdana" w:cs="Arial"/>
                <w:b/>
              </w:rPr>
              <w:t xml:space="preserve"> (</w:t>
            </w:r>
            <w:proofErr w:type="spellStart"/>
            <w:r w:rsidRPr="009146AC">
              <w:rPr>
                <w:rFonts w:ascii="Verdana" w:hAnsi="Verdana" w:cs="Arial"/>
                <w:b/>
              </w:rPr>
              <w:t>dordaviprone</w:t>
            </w:r>
            <w:proofErr w:type="spellEnd"/>
            <w:r w:rsidRPr="009146AC">
              <w:rPr>
                <w:rFonts w:ascii="Verdana" w:hAnsi="Verdana" w:cs="Arial"/>
                <w:b/>
              </w:rPr>
              <w:t xml:space="preserve">) </w:t>
            </w:r>
            <w:r w:rsidRPr="009146AC">
              <w:rPr>
                <w:rFonts w:ascii="Verdana" w:hAnsi="Verdana" w:cs="Arial"/>
                <w:b/>
                <w:color w:val="FF0000"/>
              </w:rPr>
              <w:t>Protected Class</w:t>
            </w:r>
          </w:p>
        </w:tc>
        <w:tc>
          <w:tcPr>
            <w:tcW w:w="3330" w:type="dxa"/>
          </w:tcPr>
          <w:p w14:paraId="71C7D3DE" w14:textId="22453EC0" w:rsidR="005A5771" w:rsidRDefault="002543A7" w:rsidP="003E5867">
            <w:pPr>
              <w:rPr>
                <w:rFonts w:ascii="Verdana" w:hAnsi="Verdana"/>
              </w:rPr>
            </w:pPr>
            <w:r>
              <w:rPr>
                <w:rFonts w:ascii="Verdana" w:hAnsi="Verdana" w:cstheme="minorHAnsi"/>
                <w:iCs/>
              </w:rPr>
              <w:t>A</w:t>
            </w:r>
            <w:r w:rsidRPr="009146AC">
              <w:rPr>
                <w:rFonts w:ascii="Verdana" w:hAnsi="Verdana" w:cstheme="minorHAnsi"/>
                <w:iCs/>
              </w:rPr>
              <w:t>dult and pediatric patients ≥ 1 year of age with diffuse midline glioma (DMG) harboring an H3 K27M mutation with progressive disease following prior therapy</w:t>
            </w:r>
          </w:p>
        </w:tc>
        <w:tc>
          <w:tcPr>
            <w:tcW w:w="3150" w:type="dxa"/>
          </w:tcPr>
          <w:p w14:paraId="3BDBA77A" w14:textId="0A1759D0" w:rsidR="002543A7" w:rsidRPr="00B727CC" w:rsidRDefault="002543A7" w:rsidP="002543A7">
            <w:pPr>
              <w:rPr>
                <w:rFonts w:ascii="Verdana" w:hAnsi="Verdana"/>
              </w:rPr>
            </w:pPr>
            <w:r>
              <w:rPr>
                <w:rFonts w:ascii="Verdana" w:hAnsi="Verdana"/>
              </w:rPr>
              <w:t>Medical Assistance:</w:t>
            </w:r>
            <w:r>
              <w:rPr>
                <w:rFonts w:ascii="Verdana" w:hAnsi="Verdana"/>
              </w:rPr>
              <w:t xml:space="preserve"> </w:t>
            </w:r>
            <w:r>
              <w:rPr>
                <w:rFonts w:ascii="Verdana" w:hAnsi="Verdana"/>
              </w:rPr>
              <w:t>Formulary</w:t>
            </w:r>
            <w:r>
              <w:rPr>
                <w:rFonts w:ascii="Verdana" w:hAnsi="Verdana"/>
              </w:rPr>
              <w:t xml:space="preserve"> w/PA</w:t>
            </w:r>
            <w:r>
              <w:rPr>
                <w:rFonts w:ascii="Verdana" w:hAnsi="Verdana"/>
              </w:rPr>
              <w:br/>
              <w:t>Exchange:</w:t>
            </w:r>
            <w:r>
              <w:rPr>
                <w:rFonts w:ascii="Verdana" w:hAnsi="Verdana"/>
              </w:rPr>
              <w:t xml:space="preserve"> </w:t>
            </w:r>
            <w:r>
              <w:rPr>
                <w:rFonts w:ascii="Verdana" w:hAnsi="Verdana"/>
              </w:rPr>
              <w:t xml:space="preserve">Formulary </w:t>
            </w:r>
            <w:r>
              <w:rPr>
                <w:rFonts w:ascii="Verdana" w:hAnsi="Verdana"/>
              </w:rPr>
              <w:t>w/PA</w:t>
            </w:r>
          </w:p>
          <w:p w14:paraId="1A17E8A2" w14:textId="74E7C6B7" w:rsidR="005A5771" w:rsidRPr="00B727CC" w:rsidRDefault="005A5771" w:rsidP="00F11DC6">
            <w:pPr>
              <w:pStyle w:val="NoSpacing"/>
              <w:rPr>
                <w:rFonts w:ascii="Verdana" w:hAnsi="Verdana"/>
              </w:rPr>
            </w:pPr>
          </w:p>
        </w:tc>
        <w:tc>
          <w:tcPr>
            <w:tcW w:w="1440" w:type="dxa"/>
          </w:tcPr>
          <w:p w14:paraId="2244416E" w14:textId="13238005" w:rsidR="005A5771" w:rsidRPr="00B727CC" w:rsidRDefault="005A5771" w:rsidP="003E5867">
            <w:pPr>
              <w:rPr>
                <w:rFonts w:ascii="Verdana" w:eastAsia="Times New Roman" w:hAnsi="Verdana" w:cs="Arial"/>
              </w:rPr>
            </w:pPr>
            <w:r w:rsidRPr="00B727CC">
              <w:rPr>
                <w:rFonts w:ascii="Verdana" w:eastAsia="Times New Roman" w:hAnsi="Verdana" w:cs="Arial"/>
              </w:rPr>
              <w:t>NA</w:t>
            </w:r>
          </w:p>
        </w:tc>
      </w:tr>
      <w:tr w:rsidR="005A5771" w:rsidRPr="00852F8C" w14:paraId="4D100F37" w14:textId="77777777" w:rsidTr="00B727CC">
        <w:tc>
          <w:tcPr>
            <w:tcW w:w="2970" w:type="dxa"/>
          </w:tcPr>
          <w:p w14:paraId="1B0CC099" w14:textId="0F21DE4A" w:rsidR="005A5771" w:rsidRPr="00413044" w:rsidRDefault="002543A7" w:rsidP="00E8257D">
            <w:pPr>
              <w:pStyle w:val="Standard1"/>
              <w:spacing w:before="0" w:after="0"/>
              <w:rPr>
                <w:rFonts w:ascii="Verdana" w:eastAsiaTheme="minorHAnsi" w:hAnsi="Verdana" w:cs="Arial"/>
                <w:bCs/>
                <w:sz w:val="22"/>
                <w:szCs w:val="22"/>
              </w:rPr>
            </w:pPr>
            <w:proofErr w:type="spellStart"/>
            <w:r w:rsidRPr="009146AC">
              <w:rPr>
                <w:rFonts w:ascii="Verdana" w:hAnsi="Verdana" w:cs="Arial"/>
                <w:b/>
                <w:sz w:val="22"/>
                <w:szCs w:val="22"/>
              </w:rPr>
              <w:t>Sephience</w:t>
            </w:r>
            <w:proofErr w:type="spellEnd"/>
            <w:r w:rsidRPr="009146AC">
              <w:rPr>
                <w:rFonts w:ascii="Verdana" w:hAnsi="Verdana" w:cs="Arial"/>
                <w:b/>
                <w:sz w:val="22"/>
                <w:szCs w:val="22"/>
              </w:rPr>
              <w:t xml:space="preserve"> (</w:t>
            </w:r>
            <w:proofErr w:type="spellStart"/>
            <w:r w:rsidRPr="009146AC">
              <w:rPr>
                <w:rFonts w:ascii="Verdana" w:hAnsi="Verdana" w:cs="Arial"/>
                <w:b/>
                <w:sz w:val="22"/>
                <w:szCs w:val="22"/>
              </w:rPr>
              <w:t>sepiapterin</w:t>
            </w:r>
            <w:proofErr w:type="spellEnd"/>
            <w:r w:rsidRPr="009146AC">
              <w:rPr>
                <w:rFonts w:ascii="Verdana" w:hAnsi="Verdana" w:cs="Arial"/>
                <w:b/>
                <w:sz w:val="22"/>
                <w:szCs w:val="22"/>
              </w:rPr>
              <w:t>)</w:t>
            </w:r>
          </w:p>
        </w:tc>
        <w:tc>
          <w:tcPr>
            <w:tcW w:w="3330" w:type="dxa"/>
          </w:tcPr>
          <w:p w14:paraId="53456F38" w14:textId="67F7F7E4" w:rsidR="005A5771" w:rsidRDefault="002543A7" w:rsidP="003E5867">
            <w:pPr>
              <w:rPr>
                <w:rFonts w:ascii="Verdana" w:hAnsi="Verdana"/>
              </w:rPr>
            </w:pPr>
            <w:r w:rsidRPr="009146AC">
              <w:rPr>
                <w:rFonts w:ascii="Verdana" w:hAnsi="Verdana" w:cstheme="minorHAnsi"/>
                <w:iCs/>
              </w:rPr>
              <w:t xml:space="preserve">Treatment of hyperphenylalaninemia (HPA) in patients aged 1 month and older with </w:t>
            </w:r>
            <w:proofErr w:type="spellStart"/>
            <w:r w:rsidRPr="009146AC">
              <w:rPr>
                <w:rFonts w:ascii="Verdana" w:hAnsi="Verdana" w:cstheme="minorHAnsi"/>
                <w:iCs/>
              </w:rPr>
              <w:t>sepiapterin</w:t>
            </w:r>
            <w:proofErr w:type="spellEnd"/>
            <w:r w:rsidRPr="009146AC">
              <w:rPr>
                <w:rFonts w:ascii="Verdana" w:hAnsi="Verdana" w:cstheme="minorHAnsi"/>
                <w:iCs/>
              </w:rPr>
              <w:t>-responsive phenylketonuria (PKU). To be used in conjunction with a phenylalanine (PHE)-restricted diet.</w:t>
            </w:r>
          </w:p>
        </w:tc>
        <w:tc>
          <w:tcPr>
            <w:tcW w:w="3150" w:type="dxa"/>
          </w:tcPr>
          <w:p w14:paraId="12C84B3D" w14:textId="77777777" w:rsidR="002543A7" w:rsidRPr="00B727CC" w:rsidRDefault="002543A7" w:rsidP="002543A7">
            <w:pPr>
              <w:rPr>
                <w:rFonts w:ascii="Verdana" w:hAnsi="Verdana"/>
              </w:rPr>
            </w:pPr>
            <w:r>
              <w:rPr>
                <w:rFonts w:ascii="Verdana" w:hAnsi="Verdana"/>
              </w:rPr>
              <w:t>Medical Assistance: Non-Formulary</w:t>
            </w:r>
            <w:r>
              <w:rPr>
                <w:rFonts w:ascii="Verdana" w:hAnsi="Verdana"/>
              </w:rPr>
              <w:br/>
              <w:t xml:space="preserve">Exchange: Non-Formulary </w:t>
            </w:r>
          </w:p>
          <w:p w14:paraId="29C895AE" w14:textId="77777777" w:rsidR="005A5771" w:rsidRPr="00B727CC" w:rsidRDefault="005A5771" w:rsidP="00F11DC6">
            <w:pPr>
              <w:pStyle w:val="NoSpacing"/>
              <w:rPr>
                <w:rFonts w:ascii="Verdana" w:hAnsi="Verdana"/>
              </w:rPr>
            </w:pPr>
          </w:p>
        </w:tc>
        <w:tc>
          <w:tcPr>
            <w:tcW w:w="1440" w:type="dxa"/>
          </w:tcPr>
          <w:p w14:paraId="0F2301FD" w14:textId="53F2EC19" w:rsidR="005A5771" w:rsidRPr="00B727CC" w:rsidRDefault="005A5771" w:rsidP="003E5867">
            <w:pPr>
              <w:rPr>
                <w:rFonts w:ascii="Verdana" w:eastAsia="Times New Roman" w:hAnsi="Verdana" w:cs="Arial"/>
              </w:rPr>
            </w:pPr>
            <w:r w:rsidRPr="00B727CC">
              <w:rPr>
                <w:rFonts w:ascii="Verdana" w:eastAsia="Times New Roman" w:hAnsi="Verdana" w:cs="Arial"/>
              </w:rPr>
              <w:t>NA</w:t>
            </w:r>
          </w:p>
        </w:tc>
      </w:tr>
      <w:tr w:rsidR="00F11DC6" w:rsidRPr="00852F8C" w14:paraId="50E5AF6C" w14:textId="77777777" w:rsidTr="00B727CC">
        <w:tc>
          <w:tcPr>
            <w:tcW w:w="2970" w:type="dxa"/>
          </w:tcPr>
          <w:p w14:paraId="0BC64517" w14:textId="449771C4" w:rsidR="00F11DC6" w:rsidRPr="00413044" w:rsidRDefault="002543A7" w:rsidP="00E8257D">
            <w:pPr>
              <w:pStyle w:val="Standard1"/>
              <w:spacing w:before="0" w:after="0"/>
              <w:rPr>
                <w:rFonts w:ascii="Verdana" w:hAnsi="Verdana" w:cs="Arial"/>
                <w:bCs/>
              </w:rPr>
            </w:pPr>
            <w:proofErr w:type="spellStart"/>
            <w:r w:rsidRPr="009146AC">
              <w:rPr>
                <w:rFonts w:ascii="Verdana" w:hAnsi="Verdana" w:cs="Arial"/>
                <w:b/>
                <w:sz w:val="22"/>
                <w:szCs w:val="22"/>
              </w:rPr>
              <w:t>Ekterly</w:t>
            </w:r>
            <w:proofErr w:type="spellEnd"/>
            <w:r w:rsidRPr="009146AC">
              <w:rPr>
                <w:rFonts w:ascii="Verdana" w:hAnsi="Verdana" w:cs="Arial"/>
                <w:b/>
                <w:sz w:val="22"/>
                <w:szCs w:val="22"/>
              </w:rPr>
              <w:t xml:space="preserve"> (</w:t>
            </w:r>
            <w:proofErr w:type="spellStart"/>
            <w:r w:rsidRPr="009146AC">
              <w:rPr>
                <w:rFonts w:ascii="Verdana" w:hAnsi="Verdana" w:cs="Arial"/>
                <w:b/>
                <w:sz w:val="22"/>
                <w:szCs w:val="22"/>
              </w:rPr>
              <w:t>sebetralstat</w:t>
            </w:r>
            <w:proofErr w:type="spellEnd"/>
            <w:r w:rsidRPr="009146AC">
              <w:rPr>
                <w:rFonts w:ascii="Verdana" w:hAnsi="Verdana" w:cs="Arial"/>
                <w:b/>
                <w:sz w:val="22"/>
                <w:szCs w:val="22"/>
              </w:rPr>
              <w:t>)</w:t>
            </w:r>
          </w:p>
        </w:tc>
        <w:tc>
          <w:tcPr>
            <w:tcW w:w="3330" w:type="dxa"/>
          </w:tcPr>
          <w:p w14:paraId="50554C1C" w14:textId="301F6435" w:rsidR="00F11DC6" w:rsidRDefault="002543A7" w:rsidP="003E5867">
            <w:pPr>
              <w:rPr>
                <w:rFonts w:ascii="Verdana" w:hAnsi="Verdana"/>
              </w:rPr>
            </w:pPr>
            <w:r w:rsidRPr="009146AC">
              <w:rPr>
                <w:rFonts w:ascii="Verdana" w:hAnsi="Verdana" w:cstheme="minorHAnsi"/>
                <w:iCs/>
              </w:rPr>
              <w:t>Treatment of acute attacks of hereditary angioedema (HAE) in patients aged 12 years and older.</w:t>
            </w:r>
          </w:p>
        </w:tc>
        <w:tc>
          <w:tcPr>
            <w:tcW w:w="3150" w:type="dxa"/>
          </w:tcPr>
          <w:p w14:paraId="2C0068EB" w14:textId="77777777" w:rsidR="002543A7" w:rsidRPr="00B727CC" w:rsidRDefault="002543A7" w:rsidP="002543A7">
            <w:pPr>
              <w:rPr>
                <w:rFonts w:ascii="Verdana" w:hAnsi="Verdana"/>
              </w:rPr>
            </w:pPr>
            <w:r>
              <w:rPr>
                <w:rFonts w:ascii="Verdana" w:hAnsi="Verdana"/>
              </w:rPr>
              <w:t>Medical Assistance: Non-Formulary</w:t>
            </w:r>
            <w:r>
              <w:rPr>
                <w:rFonts w:ascii="Verdana" w:hAnsi="Verdana"/>
              </w:rPr>
              <w:br/>
              <w:t xml:space="preserve">Exchange: Non-Formulary </w:t>
            </w:r>
          </w:p>
          <w:p w14:paraId="7355B652" w14:textId="691FC034" w:rsidR="00F11DC6" w:rsidRPr="00B727CC" w:rsidRDefault="00F11DC6" w:rsidP="00F11DC6">
            <w:pPr>
              <w:pStyle w:val="NoSpacing"/>
              <w:rPr>
                <w:rFonts w:ascii="Verdana" w:hAnsi="Verdana"/>
              </w:rPr>
            </w:pPr>
          </w:p>
        </w:tc>
        <w:tc>
          <w:tcPr>
            <w:tcW w:w="1440" w:type="dxa"/>
          </w:tcPr>
          <w:p w14:paraId="3A405410" w14:textId="5449E0C6" w:rsidR="00F11DC6" w:rsidRPr="00B727CC" w:rsidRDefault="00021C33" w:rsidP="003E5867">
            <w:pPr>
              <w:rPr>
                <w:rFonts w:ascii="Verdana" w:eastAsia="Times New Roman" w:hAnsi="Verdana" w:cs="Arial"/>
              </w:rPr>
            </w:pPr>
            <w:r>
              <w:rPr>
                <w:rFonts w:ascii="Verdana" w:eastAsia="Times New Roman" w:hAnsi="Verdana" w:cs="Arial"/>
              </w:rPr>
              <w:t>NA</w:t>
            </w:r>
          </w:p>
        </w:tc>
      </w:tr>
      <w:tr w:rsidR="00081CCE" w:rsidRPr="00852F8C" w14:paraId="0519EF15" w14:textId="77777777" w:rsidTr="00B727CC">
        <w:tc>
          <w:tcPr>
            <w:tcW w:w="2970" w:type="dxa"/>
          </w:tcPr>
          <w:p w14:paraId="19AB4266" w14:textId="243BE09D" w:rsidR="00081CCE" w:rsidRPr="00413044" w:rsidRDefault="002543A7" w:rsidP="00E8257D">
            <w:pPr>
              <w:pStyle w:val="Standard1"/>
              <w:spacing w:before="0" w:after="0"/>
              <w:rPr>
                <w:rFonts w:ascii="Verdana" w:hAnsi="Verdana" w:cs="Arial"/>
                <w:bCs/>
                <w:sz w:val="22"/>
                <w:szCs w:val="22"/>
              </w:rPr>
            </w:pPr>
            <w:proofErr w:type="spellStart"/>
            <w:r w:rsidRPr="009146AC">
              <w:rPr>
                <w:rFonts w:ascii="Verdana" w:hAnsi="Verdana" w:cs="Arial"/>
                <w:b/>
                <w:sz w:val="22"/>
                <w:szCs w:val="22"/>
              </w:rPr>
              <w:t>Hernexeos</w:t>
            </w:r>
            <w:proofErr w:type="spellEnd"/>
            <w:r w:rsidRPr="009146AC">
              <w:rPr>
                <w:rFonts w:ascii="Verdana" w:hAnsi="Verdana" w:cs="Arial"/>
                <w:b/>
                <w:sz w:val="22"/>
                <w:szCs w:val="22"/>
              </w:rPr>
              <w:t xml:space="preserve"> (</w:t>
            </w:r>
            <w:proofErr w:type="spellStart"/>
            <w:r w:rsidRPr="009146AC">
              <w:rPr>
                <w:rFonts w:ascii="Verdana" w:hAnsi="Verdana" w:cs="Arial"/>
                <w:b/>
                <w:sz w:val="22"/>
                <w:szCs w:val="22"/>
              </w:rPr>
              <w:t>zongertinib</w:t>
            </w:r>
            <w:proofErr w:type="spellEnd"/>
            <w:r w:rsidRPr="009146AC">
              <w:rPr>
                <w:rFonts w:ascii="Verdana" w:hAnsi="Verdana" w:cs="Arial"/>
                <w:b/>
                <w:sz w:val="22"/>
                <w:szCs w:val="22"/>
              </w:rPr>
              <w:t>)</w:t>
            </w:r>
          </w:p>
        </w:tc>
        <w:tc>
          <w:tcPr>
            <w:tcW w:w="3330" w:type="dxa"/>
          </w:tcPr>
          <w:p w14:paraId="5A1EF1A9" w14:textId="0CB8D80C" w:rsidR="00081CCE" w:rsidRPr="00AB1A50" w:rsidRDefault="002543A7" w:rsidP="00081CCE">
            <w:pPr>
              <w:autoSpaceDE w:val="0"/>
              <w:autoSpaceDN w:val="0"/>
              <w:adjustRightInd w:val="0"/>
              <w:rPr>
                <w:rFonts w:ascii="Verdana" w:hAnsi="Verdana" w:cstheme="minorHAnsi"/>
                <w:iCs/>
              </w:rPr>
            </w:pPr>
            <w:r w:rsidRPr="009146AC">
              <w:rPr>
                <w:rFonts w:ascii="Verdana" w:hAnsi="Verdana" w:cstheme="minorHAnsi"/>
                <w:iCs/>
              </w:rPr>
              <w:t>Treatment of adult patients with unresectable or metastatic non-squamous non-small cell lung cancer (NSCLC) whose tumors have human epidermal growth factor receptor 2 (HER2) tyrosine kinase domain (TKD) activating mutations, as detected by an FDA-approved test, and who have received prior systemic therapy.</w:t>
            </w:r>
          </w:p>
        </w:tc>
        <w:tc>
          <w:tcPr>
            <w:tcW w:w="3150" w:type="dxa"/>
          </w:tcPr>
          <w:p w14:paraId="008138B3" w14:textId="77777777" w:rsidR="002543A7" w:rsidRPr="00B727CC" w:rsidRDefault="002543A7" w:rsidP="002543A7">
            <w:pPr>
              <w:rPr>
                <w:rFonts w:ascii="Verdana" w:hAnsi="Verdana"/>
              </w:rPr>
            </w:pPr>
            <w:r>
              <w:rPr>
                <w:rFonts w:ascii="Verdana" w:hAnsi="Verdana"/>
              </w:rPr>
              <w:t>Medical Assistance: Formulary w/PA</w:t>
            </w:r>
            <w:r>
              <w:rPr>
                <w:rFonts w:ascii="Verdana" w:hAnsi="Verdana"/>
              </w:rPr>
              <w:br/>
              <w:t>Exchange: Formulary w/PA</w:t>
            </w:r>
          </w:p>
          <w:p w14:paraId="7029B97B" w14:textId="77777777" w:rsidR="00081CCE" w:rsidRDefault="00081CCE" w:rsidP="00081CCE">
            <w:pPr>
              <w:rPr>
                <w:rFonts w:ascii="Verdana" w:hAnsi="Verdana"/>
              </w:rPr>
            </w:pPr>
          </w:p>
        </w:tc>
        <w:tc>
          <w:tcPr>
            <w:tcW w:w="1440" w:type="dxa"/>
          </w:tcPr>
          <w:p w14:paraId="0BBDA2C4" w14:textId="04773851" w:rsidR="00081CCE" w:rsidRDefault="00081CCE" w:rsidP="003E5867">
            <w:pPr>
              <w:rPr>
                <w:rFonts w:ascii="Verdana" w:eastAsia="Times New Roman" w:hAnsi="Verdana" w:cs="Arial"/>
              </w:rPr>
            </w:pPr>
            <w:r>
              <w:rPr>
                <w:rFonts w:ascii="Verdana" w:eastAsia="Times New Roman" w:hAnsi="Verdana" w:cs="Arial"/>
              </w:rPr>
              <w:t>NA</w:t>
            </w:r>
          </w:p>
        </w:tc>
      </w:tr>
      <w:tr w:rsidR="002543A7" w:rsidRPr="00852F8C" w14:paraId="4757A985" w14:textId="77777777" w:rsidTr="00B727CC">
        <w:tc>
          <w:tcPr>
            <w:tcW w:w="2970" w:type="dxa"/>
          </w:tcPr>
          <w:p w14:paraId="1BD8DAD5" w14:textId="69411724" w:rsidR="002543A7" w:rsidRPr="00413044" w:rsidRDefault="002543A7" w:rsidP="00E8257D">
            <w:pPr>
              <w:pStyle w:val="Standard1"/>
              <w:spacing w:before="0" w:after="0"/>
              <w:rPr>
                <w:rFonts w:ascii="Verdana" w:hAnsi="Verdana" w:cs="Arial"/>
                <w:bCs/>
                <w:sz w:val="22"/>
                <w:szCs w:val="22"/>
              </w:rPr>
            </w:pPr>
            <w:proofErr w:type="spellStart"/>
            <w:r w:rsidRPr="009146AC">
              <w:rPr>
                <w:rFonts w:ascii="Verdana" w:hAnsi="Verdana" w:cs="Arial"/>
                <w:b/>
                <w:sz w:val="22"/>
                <w:szCs w:val="22"/>
              </w:rPr>
              <w:t>Ensacove</w:t>
            </w:r>
            <w:proofErr w:type="spellEnd"/>
            <w:r w:rsidRPr="009146AC">
              <w:rPr>
                <w:rFonts w:ascii="Verdana" w:hAnsi="Verdana" w:cs="Arial"/>
                <w:b/>
                <w:sz w:val="22"/>
                <w:szCs w:val="22"/>
              </w:rPr>
              <w:t xml:space="preserve"> (</w:t>
            </w:r>
            <w:proofErr w:type="spellStart"/>
            <w:r w:rsidRPr="009146AC">
              <w:rPr>
                <w:rFonts w:ascii="Verdana" w:hAnsi="Verdana" w:cs="Arial"/>
                <w:b/>
                <w:sz w:val="22"/>
                <w:szCs w:val="22"/>
              </w:rPr>
              <w:t>ensartinib</w:t>
            </w:r>
            <w:proofErr w:type="spellEnd"/>
            <w:r w:rsidRPr="009146AC">
              <w:rPr>
                <w:rFonts w:ascii="Verdana" w:hAnsi="Verdana" w:cs="Arial"/>
                <w:b/>
                <w:sz w:val="22"/>
                <w:szCs w:val="22"/>
              </w:rPr>
              <w:t>)</w:t>
            </w:r>
          </w:p>
        </w:tc>
        <w:tc>
          <w:tcPr>
            <w:tcW w:w="3330" w:type="dxa"/>
          </w:tcPr>
          <w:p w14:paraId="694FD75F" w14:textId="2859FAAF" w:rsidR="002543A7" w:rsidRPr="00AB1A50" w:rsidRDefault="002543A7" w:rsidP="00081CCE">
            <w:pPr>
              <w:autoSpaceDE w:val="0"/>
              <w:autoSpaceDN w:val="0"/>
              <w:adjustRightInd w:val="0"/>
              <w:rPr>
                <w:rFonts w:ascii="Verdana" w:hAnsi="Verdana" w:cstheme="minorHAnsi"/>
                <w:iCs/>
              </w:rPr>
            </w:pPr>
            <w:r w:rsidRPr="009146AC">
              <w:rPr>
                <w:rFonts w:ascii="Verdana" w:hAnsi="Verdana" w:cstheme="minorHAnsi"/>
                <w:iCs/>
              </w:rPr>
              <w:t>Treatment of adult patients with anaplastic lymphoma kinase (ALK)-positive (</w:t>
            </w:r>
            <w:r w:rsidRPr="009146AC">
              <w:rPr>
                <w:rFonts w:ascii="Verdana" w:hAnsi="Verdana" w:cstheme="minorHAnsi"/>
                <w:i/>
                <w:iCs/>
              </w:rPr>
              <w:t>ALK</w:t>
            </w:r>
            <w:r w:rsidRPr="009146AC">
              <w:rPr>
                <w:rFonts w:ascii="Verdana" w:hAnsi="Verdana" w:cstheme="minorHAnsi"/>
                <w:iCs/>
              </w:rPr>
              <w:t>+) locally advanced or metastatic non-small cell lung cancer (NSCLC), as detected by an FDA-approved test, who have not previously received an ALK-inhibitor.</w:t>
            </w:r>
          </w:p>
        </w:tc>
        <w:tc>
          <w:tcPr>
            <w:tcW w:w="3150" w:type="dxa"/>
          </w:tcPr>
          <w:p w14:paraId="1D4EC93B" w14:textId="77777777" w:rsidR="002543A7" w:rsidRPr="00B727CC" w:rsidRDefault="002543A7" w:rsidP="002543A7">
            <w:pPr>
              <w:rPr>
                <w:rFonts w:ascii="Verdana" w:hAnsi="Verdana"/>
              </w:rPr>
            </w:pPr>
            <w:r>
              <w:rPr>
                <w:rFonts w:ascii="Verdana" w:hAnsi="Verdana"/>
              </w:rPr>
              <w:t>Medical Assistance: Formulary w/PA</w:t>
            </w:r>
            <w:r>
              <w:rPr>
                <w:rFonts w:ascii="Verdana" w:hAnsi="Verdana"/>
              </w:rPr>
              <w:br/>
              <w:t>Exchange: Formulary w/PA</w:t>
            </w:r>
          </w:p>
          <w:p w14:paraId="370647FB" w14:textId="77777777" w:rsidR="002543A7" w:rsidRDefault="002543A7" w:rsidP="00081CCE">
            <w:pPr>
              <w:rPr>
                <w:rFonts w:ascii="Verdana" w:hAnsi="Verdana"/>
              </w:rPr>
            </w:pPr>
          </w:p>
        </w:tc>
        <w:tc>
          <w:tcPr>
            <w:tcW w:w="1440" w:type="dxa"/>
          </w:tcPr>
          <w:p w14:paraId="07043451" w14:textId="48B70FB4" w:rsidR="002543A7" w:rsidRDefault="002543A7" w:rsidP="003E5867">
            <w:pPr>
              <w:rPr>
                <w:rFonts w:ascii="Verdana" w:eastAsia="Times New Roman" w:hAnsi="Verdana" w:cs="Arial"/>
              </w:rPr>
            </w:pPr>
            <w:r>
              <w:rPr>
                <w:rFonts w:ascii="Verdana" w:eastAsia="Times New Roman" w:hAnsi="Verdana" w:cs="Arial"/>
              </w:rPr>
              <w:t>NA</w:t>
            </w:r>
          </w:p>
        </w:tc>
      </w:tr>
    </w:tbl>
    <w:p w14:paraId="30725D2E" w14:textId="2E6D7891" w:rsidR="00C36463" w:rsidRPr="00852F8C" w:rsidRDefault="00C36463">
      <w:pPr>
        <w:spacing w:line="200" w:lineRule="exact"/>
        <w:rPr>
          <w:rFonts w:ascii="Verdana" w:hAnsi="Verdana"/>
          <w:sz w:val="20"/>
          <w:szCs w:val="20"/>
        </w:rPr>
      </w:pPr>
    </w:p>
    <w:p w14:paraId="38B717C3" w14:textId="77777777" w:rsidR="00C36463" w:rsidRPr="00B727CC" w:rsidRDefault="00C36463">
      <w:pPr>
        <w:spacing w:line="200" w:lineRule="exact"/>
        <w:rPr>
          <w:rFonts w:ascii="Verdana" w:hAnsi="Verdana"/>
        </w:rPr>
      </w:pPr>
    </w:p>
    <w:p w14:paraId="571B2695" w14:textId="160930EC" w:rsidR="001B05E8" w:rsidRPr="00B727CC" w:rsidRDefault="000A6E31" w:rsidP="00015A48">
      <w:pPr>
        <w:spacing w:line="200" w:lineRule="exact"/>
        <w:jc w:val="both"/>
        <w:rPr>
          <w:rFonts w:ascii="Verdana" w:eastAsia="Times New Roman" w:hAnsi="Verdana" w:cs="Arial"/>
          <w:b/>
        </w:rPr>
      </w:pPr>
      <w:r w:rsidRPr="00B727CC">
        <w:rPr>
          <w:rFonts w:ascii="Verdana" w:eastAsia="Times New Roman" w:hAnsi="Verdana" w:cs="Arial"/>
          <w:b/>
        </w:rPr>
        <w:t xml:space="preserve">Formulary changes for New Generics, New Indications and Miscellaneous Previously Reviewed drugs are effective </w:t>
      </w:r>
      <w:r w:rsidR="00081CCE">
        <w:rPr>
          <w:rFonts w:ascii="Verdana" w:eastAsia="Times New Roman" w:hAnsi="Verdana" w:cs="Arial"/>
          <w:b/>
        </w:rPr>
        <w:t>0</w:t>
      </w:r>
      <w:r w:rsidR="00365EDB">
        <w:rPr>
          <w:rFonts w:ascii="Verdana" w:eastAsia="Times New Roman" w:hAnsi="Verdana" w:cs="Arial"/>
          <w:b/>
        </w:rPr>
        <w:t>4</w:t>
      </w:r>
      <w:r w:rsidR="00BE479A" w:rsidRPr="00B727CC">
        <w:rPr>
          <w:rFonts w:ascii="Verdana" w:eastAsia="Times New Roman" w:hAnsi="Verdana" w:cs="Arial"/>
          <w:b/>
        </w:rPr>
        <w:t>/1</w:t>
      </w:r>
      <w:r w:rsidRPr="00B727CC">
        <w:rPr>
          <w:rFonts w:ascii="Verdana" w:eastAsia="Times New Roman" w:hAnsi="Verdana" w:cs="Arial"/>
          <w:b/>
        </w:rPr>
        <w:t>/202</w:t>
      </w:r>
      <w:r w:rsidR="00081CCE">
        <w:rPr>
          <w:rFonts w:ascii="Verdana" w:eastAsia="Times New Roman" w:hAnsi="Verdana" w:cs="Arial"/>
          <w:b/>
        </w:rPr>
        <w:t>6</w:t>
      </w:r>
      <w:r w:rsidRPr="00B727CC">
        <w:rPr>
          <w:rFonts w:ascii="Verdana" w:eastAsia="Times New Roman" w:hAnsi="Verdana" w:cs="Arial"/>
          <w:b/>
        </w:rPr>
        <w:t>.</w:t>
      </w:r>
    </w:p>
    <w:p w14:paraId="4909B206" w14:textId="77777777" w:rsidR="001B05E8" w:rsidRPr="00852F8C" w:rsidRDefault="001B05E8" w:rsidP="006B16C1">
      <w:pPr>
        <w:rPr>
          <w:rFonts w:ascii="Verdana" w:eastAsia="Times New Roman" w:hAnsi="Verdana" w:cs="Arial"/>
          <w:b/>
          <w:sz w:val="20"/>
          <w:szCs w:val="20"/>
          <w:u w:val="single"/>
        </w:rPr>
      </w:pPr>
    </w:p>
    <w:tbl>
      <w:tblPr>
        <w:tblStyle w:val="LightList-Accent5"/>
        <w:tblW w:w="10885" w:type="dxa"/>
        <w:tblInd w:w="-9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10885"/>
      </w:tblGrid>
      <w:tr w:rsidR="00153FC2" w:rsidRPr="00852F8C" w14:paraId="2C07B094" w14:textId="77777777" w:rsidTr="00D9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shd w:val="clear" w:color="auto" w:fill="00205B"/>
          </w:tcPr>
          <w:p w14:paraId="71E652E9" w14:textId="77777777" w:rsidR="004C5F89" w:rsidRPr="00852F8C" w:rsidRDefault="00153FC2" w:rsidP="005247AA">
            <w:pPr>
              <w:spacing w:after="240"/>
              <w:rPr>
                <w:rFonts w:ascii="Verdana" w:eastAsia="Times New Roman" w:hAnsi="Verdana" w:cs="Arial"/>
                <w:sz w:val="20"/>
                <w:szCs w:val="20"/>
              </w:rPr>
            </w:pPr>
            <w:bookmarkStart w:id="0" w:name="_Hlk98851985"/>
            <w:r w:rsidRPr="00852F8C">
              <w:rPr>
                <w:rFonts w:ascii="Verdana" w:eastAsia="Times New Roman" w:hAnsi="Verdana" w:cs="Arial"/>
                <w:sz w:val="20"/>
                <w:szCs w:val="20"/>
              </w:rPr>
              <w:t xml:space="preserve">New Indications Review </w:t>
            </w:r>
          </w:p>
        </w:tc>
      </w:tr>
    </w:tbl>
    <w:tbl>
      <w:tblPr>
        <w:tblStyle w:val="TableGrid"/>
        <w:tblW w:w="10917" w:type="dxa"/>
        <w:tblInd w:w="-95" w:type="dxa"/>
        <w:tblLook w:val="04A0" w:firstRow="1" w:lastRow="0" w:firstColumn="1" w:lastColumn="0" w:noHBand="0" w:noVBand="1"/>
      </w:tblPr>
      <w:tblGrid>
        <w:gridCol w:w="3845"/>
        <w:gridCol w:w="3408"/>
        <w:gridCol w:w="3664"/>
      </w:tblGrid>
      <w:tr w:rsidR="004F2F90" w:rsidRPr="00852F8C" w14:paraId="4B7C4753" w14:textId="77777777" w:rsidTr="001F115A">
        <w:trPr>
          <w:trHeight w:val="566"/>
        </w:trPr>
        <w:tc>
          <w:tcPr>
            <w:tcW w:w="3845" w:type="dxa"/>
          </w:tcPr>
          <w:p w14:paraId="48E65DDF" w14:textId="5B200CEC" w:rsidR="004F2F90" w:rsidRPr="00852F8C" w:rsidRDefault="004F2F90" w:rsidP="004F2F90">
            <w:pPr>
              <w:spacing w:after="240"/>
              <w:rPr>
                <w:rFonts w:ascii="Verdana" w:eastAsia="Times New Roman" w:hAnsi="Verdana" w:cs="Arial"/>
                <w:sz w:val="20"/>
                <w:szCs w:val="20"/>
              </w:rPr>
            </w:pPr>
            <w:r w:rsidRPr="00852F8C">
              <w:rPr>
                <w:rFonts w:ascii="Verdana" w:hAnsi="Verdana"/>
                <w:b/>
                <w:bCs/>
                <w:sz w:val="20"/>
                <w:szCs w:val="20"/>
              </w:rPr>
              <w:t>Drug</w:t>
            </w:r>
          </w:p>
        </w:tc>
        <w:tc>
          <w:tcPr>
            <w:tcW w:w="3408" w:type="dxa"/>
          </w:tcPr>
          <w:p w14:paraId="48AC1C2A" w14:textId="4EC1C9F5" w:rsidR="004F2F90" w:rsidRPr="00852F8C" w:rsidRDefault="004F2F90" w:rsidP="004F2F90">
            <w:pPr>
              <w:spacing w:after="240"/>
              <w:rPr>
                <w:rFonts w:ascii="Verdana" w:eastAsia="Times New Roman" w:hAnsi="Verdana" w:cs="Arial"/>
                <w:sz w:val="20"/>
                <w:szCs w:val="20"/>
              </w:rPr>
            </w:pPr>
            <w:r w:rsidRPr="00852F8C">
              <w:rPr>
                <w:rFonts w:ascii="Verdana" w:hAnsi="Verdana"/>
                <w:b/>
                <w:sz w:val="20"/>
                <w:szCs w:val="20"/>
              </w:rPr>
              <w:t>Current formulary status</w:t>
            </w:r>
          </w:p>
        </w:tc>
        <w:tc>
          <w:tcPr>
            <w:tcW w:w="3664" w:type="dxa"/>
          </w:tcPr>
          <w:p w14:paraId="0DC14B8E" w14:textId="39AC6804" w:rsidR="004F2F90" w:rsidRPr="00852F8C" w:rsidRDefault="004F2F90" w:rsidP="004F2F90">
            <w:pPr>
              <w:spacing w:after="240"/>
              <w:rPr>
                <w:rFonts w:ascii="Verdana" w:eastAsia="Times New Roman" w:hAnsi="Verdana" w:cs="Arial"/>
                <w:sz w:val="20"/>
                <w:szCs w:val="20"/>
              </w:rPr>
            </w:pPr>
            <w:r w:rsidRPr="00852F8C">
              <w:rPr>
                <w:rFonts w:ascii="Verdana" w:hAnsi="Verdana"/>
                <w:b/>
                <w:sz w:val="20"/>
                <w:szCs w:val="20"/>
              </w:rPr>
              <w:t>Recommendation</w:t>
            </w:r>
          </w:p>
        </w:tc>
      </w:tr>
      <w:bookmarkEnd w:id="0"/>
      <w:tr w:rsidR="00075402" w:rsidRPr="00852F8C" w14:paraId="1B56CDD1" w14:textId="77777777" w:rsidTr="001F115A">
        <w:tc>
          <w:tcPr>
            <w:tcW w:w="3845" w:type="dxa"/>
            <w:shd w:val="clear" w:color="auto" w:fill="auto"/>
          </w:tcPr>
          <w:p w14:paraId="5279026A" w14:textId="77777777" w:rsidR="002543A7" w:rsidRPr="000077D3" w:rsidRDefault="002543A7" w:rsidP="002543A7">
            <w:pPr>
              <w:rPr>
                <w:rFonts w:ascii="Verdana" w:hAnsi="Verdana"/>
              </w:rPr>
            </w:pPr>
            <w:proofErr w:type="spellStart"/>
            <w:r w:rsidRPr="000077D3">
              <w:rPr>
                <w:rFonts w:ascii="Verdana" w:hAnsi="Verdana"/>
                <w:b/>
                <w:bCs/>
              </w:rPr>
              <w:t>Caplyta</w:t>
            </w:r>
            <w:proofErr w:type="spellEnd"/>
            <w:r w:rsidRPr="000077D3">
              <w:rPr>
                <w:rFonts w:ascii="Verdana" w:hAnsi="Verdana"/>
              </w:rPr>
              <w:t xml:space="preserve"> (</w:t>
            </w:r>
            <w:proofErr w:type="spellStart"/>
            <w:r w:rsidRPr="000077D3">
              <w:rPr>
                <w:rFonts w:ascii="Verdana" w:hAnsi="Verdana"/>
              </w:rPr>
              <w:t>lumateperone</w:t>
            </w:r>
            <w:proofErr w:type="spellEnd"/>
            <w:r w:rsidRPr="000077D3">
              <w:rPr>
                <w:rFonts w:ascii="Verdana" w:hAnsi="Verdana"/>
              </w:rPr>
              <w:t>) 10.5, 21, &amp; 42 mg capsules for major depressive disorder</w:t>
            </w:r>
          </w:p>
          <w:p w14:paraId="79C91297" w14:textId="1A62212F" w:rsidR="00075402" w:rsidRPr="00021C33" w:rsidRDefault="00075402" w:rsidP="00075402">
            <w:pPr>
              <w:rPr>
                <w:rFonts w:ascii="Verdana" w:hAnsi="Verdana"/>
              </w:rPr>
            </w:pPr>
          </w:p>
        </w:tc>
        <w:tc>
          <w:tcPr>
            <w:tcW w:w="3408" w:type="dxa"/>
            <w:shd w:val="clear" w:color="auto" w:fill="auto"/>
          </w:tcPr>
          <w:p w14:paraId="428578B6" w14:textId="0B9B5312" w:rsidR="002543A7" w:rsidRPr="000077D3" w:rsidRDefault="002543A7" w:rsidP="002543A7">
            <w:pPr>
              <w:rPr>
                <w:rFonts w:ascii="Verdana" w:hAnsi="Verdana"/>
              </w:rPr>
            </w:pPr>
            <w:r w:rsidRPr="000077D3">
              <w:rPr>
                <w:rFonts w:ascii="Verdana" w:hAnsi="Verdana"/>
                <w:lang w:val="it-IT"/>
              </w:rPr>
              <w:t>F: IFP</w:t>
            </w:r>
          </w:p>
          <w:p w14:paraId="1574B4AA" w14:textId="77777777" w:rsidR="002543A7" w:rsidRPr="000077D3" w:rsidRDefault="002543A7" w:rsidP="002543A7">
            <w:pPr>
              <w:rPr>
                <w:rFonts w:ascii="Verdana" w:hAnsi="Verdana"/>
              </w:rPr>
            </w:pPr>
            <w:r w:rsidRPr="000077D3">
              <w:rPr>
                <w:rFonts w:ascii="Verdana" w:hAnsi="Verdana"/>
                <w:lang w:val="it-IT"/>
              </w:rPr>
              <w:t>NP: MA</w:t>
            </w:r>
          </w:p>
          <w:p w14:paraId="31DB2A16" w14:textId="1E15B213" w:rsidR="00075402" w:rsidRPr="00AF03AD" w:rsidRDefault="00075402" w:rsidP="00075402">
            <w:pPr>
              <w:rPr>
                <w:rFonts w:ascii="Verdana" w:eastAsia="Times New Roman" w:hAnsi="Verdana" w:cs="Arial"/>
              </w:rPr>
            </w:pPr>
          </w:p>
        </w:tc>
        <w:tc>
          <w:tcPr>
            <w:tcW w:w="3664" w:type="dxa"/>
            <w:shd w:val="clear" w:color="auto" w:fill="auto"/>
          </w:tcPr>
          <w:p w14:paraId="687708E5" w14:textId="6C33D19C" w:rsidR="00075402" w:rsidRPr="00AF03AD" w:rsidRDefault="00075402" w:rsidP="00075402">
            <w:pPr>
              <w:rPr>
                <w:rFonts w:ascii="Verdana" w:hAnsi="Verdana"/>
              </w:rPr>
            </w:pPr>
            <w:r w:rsidRPr="00AF03AD">
              <w:rPr>
                <w:rFonts w:ascii="Verdana" w:hAnsi="Verdana"/>
              </w:rPr>
              <w:t>No change</w:t>
            </w:r>
          </w:p>
          <w:p w14:paraId="3FEA51F4" w14:textId="3503BEF9" w:rsidR="00075402" w:rsidRPr="00AF03AD" w:rsidRDefault="00075402" w:rsidP="00075402">
            <w:pPr>
              <w:rPr>
                <w:rFonts w:ascii="Verdana" w:eastAsia="Times New Roman" w:hAnsi="Verdana" w:cs="Arial"/>
              </w:rPr>
            </w:pPr>
          </w:p>
        </w:tc>
      </w:tr>
      <w:tr w:rsidR="00075402" w:rsidRPr="00852F8C" w14:paraId="40C03084" w14:textId="77777777" w:rsidTr="001F115A">
        <w:trPr>
          <w:trHeight w:val="503"/>
        </w:trPr>
        <w:tc>
          <w:tcPr>
            <w:tcW w:w="3845" w:type="dxa"/>
            <w:shd w:val="clear" w:color="auto" w:fill="auto"/>
          </w:tcPr>
          <w:p w14:paraId="711B4C11" w14:textId="77777777" w:rsidR="002543A7" w:rsidRPr="000077D3" w:rsidRDefault="002543A7" w:rsidP="002543A7">
            <w:pPr>
              <w:rPr>
                <w:rFonts w:ascii="Verdana" w:hAnsi="Verdana"/>
              </w:rPr>
            </w:pPr>
            <w:proofErr w:type="spellStart"/>
            <w:r w:rsidRPr="000077D3">
              <w:rPr>
                <w:rFonts w:ascii="Verdana" w:hAnsi="Verdana"/>
                <w:b/>
                <w:bCs/>
              </w:rPr>
              <w:t>Rinvoq</w:t>
            </w:r>
            <w:proofErr w:type="spellEnd"/>
            <w:r w:rsidRPr="000077D3">
              <w:rPr>
                <w:rFonts w:ascii="Verdana" w:hAnsi="Verdana"/>
              </w:rPr>
              <w:t xml:space="preserve"> (</w:t>
            </w:r>
            <w:proofErr w:type="spellStart"/>
            <w:r w:rsidRPr="000077D3">
              <w:rPr>
                <w:rFonts w:ascii="Verdana" w:hAnsi="Verdana"/>
              </w:rPr>
              <w:t>upadacitinib</w:t>
            </w:r>
            <w:proofErr w:type="spellEnd"/>
            <w:r w:rsidRPr="000077D3">
              <w:rPr>
                <w:rFonts w:ascii="Verdana" w:hAnsi="Verdana"/>
              </w:rPr>
              <w:t>) 15, 30, &amp; 45 mg extended-release tablets &amp; 1 mg/mL oral solution updated indications for ulcerative colitis and Crohn disease</w:t>
            </w:r>
          </w:p>
          <w:p w14:paraId="6C228C09" w14:textId="6073A0C9" w:rsidR="00075402" w:rsidRPr="0000785E" w:rsidRDefault="00075402" w:rsidP="00746B73">
            <w:pPr>
              <w:rPr>
                <w:rFonts w:ascii="Verdana" w:hAnsi="Verdana"/>
              </w:rPr>
            </w:pPr>
          </w:p>
        </w:tc>
        <w:tc>
          <w:tcPr>
            <w:tcW w:w="3408" w:type="dxa"/>
            <w:shd w:val="clear" w:color="auto" w:fill="auto"/>
          </w:tcPr>
          <w:p w14:paraId="2774FE8B" w14:textId="78B80578" w:rsidR="002543A7" w:rsidRPr="000077D3" w:rsidRDefault="002543A7" w:rsidP="002543A7">
            <w:pPr>
              <w:rPr>
                <w:rFonts w:ascii="Verdana" w:hAnsi="Verdana"/>
              </w:rPr>
            </w:pPr>
            <w:r w:rsidRPr="000077D3">
              <w:rPr>
                <w:rFonts w:ascii="Verdana" w:hAnsi="Verdana"/>
                <w:lang w:val="pl-PL"/>
              </w:rPr>
              <w:t>F: IFP</w:t>
            </w:r>
          </w:p>
          <w:p w14:paraId="4E55D4B7" w14:textId="77777777" w:rsidR="002543A7" w:rsidRPr="000077D3" w:rsidRDefault="002543A7" w:rsidP="002543A7">
            <w:pPr>
              <w:rPr>
                <w:rFonts w:ascii="Verdana" w:hAnsi="Verdana"/>
              </w:rPr>
            </w:pPr>
            <w:r w:rsidRPr="000077D3">
              <w:rPr>
                <w:rFonts w:ascii="Verdana" w:hAnsi="Verdana"/>
                <w:lang w:val="pl-PL"/>
              </w:rPr>
              <w:t>NP: MA</w:t>
            </w:r>
          </w:p>
          <w:p w14:paraId="04632F8E" w14:textId="50954AD0" w:rsidR="00075402" w:rsidRPr="00AF03AD" w:rsidRDefault="00075402" w:rsidP="00746B73">
            <w:pPr>
              <w:rPr>
                <w:rFonts w:ascii="Verdana" w:hAnsi="Verdana"/>
              </w:rPr>
            </w:pPr>
          </w:p>
        </w:tc>
        <w:tc>
          <w:tcPr>
            <w:tcW w:w="3664" w:type="dxa"/>
            <w:shd w:val="clear" w:color="auto" w:fill="auto"/>
          </w:tcPr>
          <w:p w14:paraId="20746239" w14:textId="77777777" w:rsidR="00746B73" w:rsidRPr="00AF03AD" w:rsidRDefault="00746B73" w:rsidP="00746B73">
            <w:pPr>
              <w:rPr>
                <w:rFonts w:ascii="Verdana" w:hAnsi="Verdana"/>
              </w:rPr>
            </w:pPr>
            <w:r w:rsidRPr="00AF03AD">
              <w:rPr>
                <w:rFonts w:ascii="Verdana" w:hAnsi="Verdana"/>
              </w:rPr>
              <w:t>No change</w:t>
            </w:r>
          </w:p>
          <w:p w14:paraId="6C241ED8" w14:textId="19003A50" w:rsidR="00075402" w:rsidRPr="00AF03AD" w:rsidRDefault="00075402" w:rsidP="00746B73">
            <w:pPr>
              <w:rPr>
                <w:rFonts w:ascii="Verdana" w:hAnsi="Verdana"/>
              </w:rPr>
            </w:pPr>
          </w:p>
        </w:tc>
      </w:tr>
      <w:tr w:rsidR="00075402" w:rsidRPr="00852F8C" w14:paraId="7403E543" w14:textId="77777777" w:rsidTr="001F115A">
        <w:tc>
          <w:tcPr>
            <w:tcW w:w="3845" w:type="dxa"/>
            <w:shd w:val="clear" w:color="auto" w:fill="auto"/>
          </w:tcPr>
          <w:p w14:paraId="6E9EF70F" w14:textId="77777777" w:rsidR="002543A7" w:rsidRPr="000077D3" w:rsidRDefault="002543A7" w:rsidP="002543A7">
            <w:pPr>
              <w:rPr>
                <w:rFonts w:ascii="Verdana" w:hAnsi="Verdana"/>
              </w:rPr>
            </w:pPr>
            <w:proofErr w:type="spellStart"/>
            <w:r w:rsidRPr="000077D3">
              <w:rPr>
                <w:rFonts w:ascii="Verdana" w:hAnsi="Verdana"/>
                <w:b/>
                <w:bCs/>
              </w:rPr>
              <w:t>Koselugo</w:t>
            </w:r>
            <w:proofErr w:type="spellEnd"/>
            <w:r w:rsidRPr="000077D3">
              <w:rPr>
                <w:rFonts w:ascii="Verdana" w:hAnsi="Verdana"/>
                <w:b/>
                <w:bCs/>
              </w:rPr>
              <w:t xml:space="preserve"> </w:t>
            </w:r>
            <w:r w:rsidRPr="000077D3">
              <w:rPr>
                <w:rFonts w:ascii="Verdana" w:hAnsi="Verdana"/>
              </w:rPr>
              <w:t>(selumetinib) 10 &amp; 25 mg capsules and 5 &amp; 7.5 mg sprinkle capsules for adults with neurofibromatosis type 1</w:t>
            </w:r>
          </w:p>
          <w:p w14:paraId="28120F19" w14:textId="43E3A598" w:rsidR="00075402" w:rsidRPr="0000785E" w:rsidRDefault="00075402" w:rsidP="00F6467A">
            <w:pPr>
              <w:rPr>
                <w:rFonts w:ascii="Verdana" w:hAnsi="Verdana"/>
              </w:rPr>
            </w:pPr>
          </w:p>
        </w:tc>
        <w:tc>
          <w:tcPr>
            <w:tcW w:w="3408" w:type="dxa"/>
            <w:shd w:val="clear" w:color="auto" w:fill="auto"/>
          </w:tcPr>
          <w:p w14:paraId="0BE98817" w14:textId="77777777" w:rsidR="002543A7" w:rsidRPr="000077D3" w:rsidRDefault="002543A7" w:rsidP="002543A7">
            <w:pPr>
              <w:rPr>
                <w:rFonts w:ascii="Verdana" w:hAnsi="Verdana"/>
              </w:rPr>
            </w:pPr>
            <w:r w:rsidRPr="000077D3">
              <w:rPr>
                <w:rFonts w:ascii="Verdana" w:hAnsi="Verdana"/>
              </w:rPr>
              <w:t>F: all lines of business</w:t>
            </w:r>
          </w:p>
          <w:p w14:paraId="57D9EF13" w14:textId="77A907C7" w:rsidR="00075402" w:rsidRPr="00AF03AD" w:rsidRDefault="00075402" w:rsidP="00746B73">
            <w:pPr>
              <w:rPr>
                <w:rFonts w:ascii="Verdana" w:hAnsi="Verdana"/>
              </w:rPr>
            </w:pPr>
          </w:p>
        </w:tc>
        <w:tc>
          <w:tcPr>
            <w:tcW w:w="3664" w:type="dxa"/>
            <w:shd w:val="clear" w:color="auto" w:fill="auto"/>
          </w:tcPr>
          <w:p w14:paraId="2BE8DBC8" w14:textId="77777777" w:rsidR="00746B73" w:rsidRPr="00AF03AD" w:rsidRDefault="00746B73" w:rsidP="00746B73">
            <w:pPr>
              <w:rPr>
                <w:rFonts w:ascii="Verdana" w:hAnsi="Verdana"/>
              </w:rPr>
            </w:pPr>
            <w:r w:rsidRPr="00AF03AD">
              <w:rPr>
                <w:rFonts w:ascii="Verdana" w:hAnsi="Verdana"/>
              </w:rPr>
              <w:t>No change</w:t>
            </w:r>
          </w:p>
          <w:p w14:paraId="5EB58032" w14:textId="1F03B6C9" w:rsidR="00075402" w:rsidRPr="00AF03AD" w:rsidRDefault="00075402" w:rsidP="00746B73">
            <w:pPr>
              <w:rPr>
                <w:rFonts w:ascii="Verdana" w:eastAsia="Times New Roman" w:hAnsi="Verdana" w:cs="Arial"/>
              </w:rPr>
            </w:pPr>
          </w:p>
        </w:tc>
      </w:tr>
      <w:tr w:rsidR="00075402" w:rsidRPr="00852F8C" w14:paraId="7F7B60B7" w14:textId="77777777" w:rsidTr="001F115A">
        <w:tc>
          <w:tcPr>
            <w:tcW w:w="3845" w:type="dxa"/>
            <w:shd w:val="clear" w:color="auto" w:fill="auto"/>
          </w:tcPr>
          <w:p w14:paraId="0D19D49B"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Tezspire</w:t>
            </w:r>
            <w:proofErr w:type="spellEnd"/>
            <w:r w:rsidRPr="000077D3">
              <w:rPr>
                <w:rFonts w:ascii="Verdana" w:hAnsi="Verdana"/>
                <w:b/>
                <w:bCs/>
                <w:sz w:val="22"/>
                <w:szCs w:val="22"/>
              </w:rPr>
              <w:t xml:space="preserve"> </w:t>
            </w:r>
            <w:r w:rsidRPr="000077D3">
              <w:rPr>
                <w:rFonts w:ascii="Verdana" w:hAnsi="Verdana"/>
                <w:sz w:val="22"/>
                <w:szCs w:val="22"/>
              </w:rPr>
              <w:t>(</w:t>
            </w:r>
            <w:proofErr w:type="spellStart"/>
            <w:r w:rsidRPr="000077D3">
              <w:rPr>
                <w:rFonts w:ascii="Verdana" w:hAnsi="Verdana"/>
                <w:sz w:val="22"/>
                <w:szCs w:val="22"/>
              </w:rPr>
              <w:t>tezepelumab</w:t>
            </w:r>
            <w:proofErr w:type="spellEnd"/>
            <w:r w:rsidRPr="000077D3">
              <w:rPr>
                <w:rFonts w:ascii="Verdana" w:hAnsi="Verdana"/>
                <w:sz w:val="22"/>
                <w:szCs w:val="22"/>
              </w:rPr>
              <w:t>) 210 mg injection for add-on maintenance treatment of adult and pediatric patients = 12 years of age with chronic rhinosinusitis with nasal polyps (</w:t>
            </w:r>
            <w:proofErr w:type="spellStart"/>
            <w:r w:rsidRPr="000077D3">
              <w:rPr>
                <w:rFonts w:ascii="Verdana" w:hAnsi="Verdana"/>
                <w:sz w:val="22"/>
                <w:szCs w:val="22"/>
              </w:rPr>
              <w:t>CRSwNP</w:t>
            </w:r>
            <w:proofErr w:type="spellEnd"/>
            <w:r w:rsidRPr="000077D3">
              <w:rPr>
                <w:rFonts w:ascii="Verdana" w:hAnsi="Verdana"/>
                <w:sz w:val="22"/>
                <w:szCs w:val="22"/>
              </w:rPr>
              <w:t>)</w:t>
            </w:r>
          </w:p>
          <w:p w14:paraId="547F3925" w14:textId="3C42E64D" w:rsidR="00075402" w:rsidRPr="0000785E" w:rsidRDefault="00075402" w:rsidP="00F6467A">
            <w:pPr>
              <w:pStyle w:val="Default"/>
              <w:rPr>
                <w:rFonts w:ascii="Verdana" w:hAnsi="Verdana" w:cstheme="minorBidi"/>
                <w:color w:val="auto"/>
                <w:sz w:val="22"/>
                <w:szCs w:val="22"/>
                <w14:ligatures w14:val="none"/>
              </w:rPr>
            </w:pPr>
          </w:p>
        </w:tc>
        <w:tc>
          <w:tcPr>
            <w:tcW w:w="3408" w:type="dxa"/>
            <w:shd w:val="clear" w:color="auto" w:fill="auto"/>
          </w:tcPr>
          <w:p w14:paraId="376F1719" w14:textId="03A3C855" w:rsidR="002543A7" w:rsidRPr="000077D3" w:rsidRDefault="002543A7" w:rsidP="002543A7">
            <w:pPr>
              <w:rPr>
                <w:rFonts w:ascii="Verdana" w:hAnsi="Verdana"/>
              </w:rPr>
            </w:pPr>
            <w:r w:rsidRPr="000077D3">
              <w:rPr>
                <w:rFonts w:ascii="Verdana" w:hAnsi="Verdana"/>
              </w:rPr>
              <w:t>N</w:t>
            </w:r>
            <w:r w:rsidRPr="000077D3">
              <w:rPr>
                <w:rFonts w:ascii="Verdana" w:hAnsi="Verdana"/>
                <w:lang w:val="pl-PL"/>
              </w:rPr>
              <w:t>F: IFP</w:t>
            </w:r>
          </w:p>
          <w:p w14:paraId="3BD5F066" w14:textId="77777777" w:rsidR="002543A7" w:rsidRPr="000077D3" w:rsidRDefault="002543A7" w:rsidP="002543A7">
            <w:pPr>
              <w:rPr>
                <w:rFonts w:ascii="Verdana" w:hAnsi="Verdana"/>
              </w:rPr>
            </w:pPr>
            <w:r w:rsidRPr="000077D3">
              <w:rPr>
                <w:rFonts w:ascii="Verdana" w:hAnsi="Verdana"/>
                <w:lang w:val="pl-PL"/>
              </w:rPr>
              <w:t>NP: MA</w:t>
            </w:r>
          </w:p>
          <w:p w14:paraId="2FC01962" w14:textId="0F549E20" w:rsidR="00075402" w:rsidRPr="00AF03AD" w:rsidRDefault="00075402" w:rsidP="00746B73">
            <w:pPr>
              <w:rPr>
                <w:rFonts w:ascii="Verdana" w:eastAsia="Times New Roman" w:hAnsi="Verdana" w:cs="Arial"/>
              </w:rPr>
            </w:pPr>
          </w:p>
        </w:tc>
        <w:tc>
          <w:tcPr>
            <w:tcW w:w="3664" w:type="dxa"/>
            <w:shd w:val="clear" w:color="auto" w:fill="auto"/>
          </w:tcPr>
          <w:p w14:paraId="1F444E8A" w14:textId="77777777" w:rsidR="00746B73" w:rsidRPr="00AF03AD" w:rsidRDefault="00746B73" w:rsidP="00746B73">
            <w:pPr>
              <w:rPr>
                <w:rFonts w:ascii="Verdana" w:hAnsi="Verdana"/>
              </w:rPr>
            </w:pPr>
            <w:r w:rsidRPr="00AF03AD">
              <w:rPr>
                <w:rFonts w:ascii="Verdana" w:hAnsi="Verdana"/>
              </w:rPr>
              <w:t>No change</w:t>
            </w:r>
          </w:p>
          <w:p w14:paraId="779A8F60" w14:textId="06EB5F60" w:rsidR="00075402" w:rsidRPr="00AF03AD" w:rsidRDefault="00075402" w:rsidP="00746B73">
            <w:pPr>
              <w:rPr>
                <w:rFonts w:ascii="Verdana" w:eastAsia="Times New Roman" w:hAnsi="Verdana" w:cs="Arial"/>
              </w:rPr>
            </w:pPr>
          </w:p>
        </w:tc>
      </w:tr>
      <w:tr w:rsidR="00081CCE" w:rsidRPr="00852F8C" w14:paraId="72856C60" w14:textId="77777777" w:rsidTr="001F115A">
        <w:tc>
          <w:tcPr>
            <w:tcW w:w="3845" w:type="dxa"/>
            <w:shd w:val="clear" w:color="auto" w:fill="auto"/>
          </w:tcPr>
          <w:p w14:paraId="3926C1FF"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Darzalex</w:t>
            </w:r>
            <w:proofErr w:type="spellEnd"/>
            <w:r w:rsidRPr="000077D3">
              <w:rPr>
                <w:rFonts w:ascii="Verdana" w:hAnsi="Verdana"/>
                <w:b/>
                <w:bCs/>
                <w:sz w:val="22"/>
                <w:szCs w:val="22"/>
              </w:rPr>
              <w:t xml:space="preserve"> </w:t>
            </w:r>
            <w:proofErr w:type="spellStart"/>
            <w:r w:rsidRPr="000077D3">
              <w:rPr>
                <w:rFonts w:ascii="Verdana" w:hAnsi="Verdana"/>
                <w:b/>
                <w:bCs/>
                <w:sz w:val="22"/>
                <w:szCs w:val="22"/>
              </w:rPr>
              <w:t>Faspro</w:t>
            </w:r>
            <w:proofErr w:type="spellEnd"/>
            <w:r w:rsidRPr="000077D3">
              <w:rPr>
                <w:rFonts w:ascii="Verdana" w:hAnsi="Verdana"/>
                <w:b/>
                <w:bCs/>
                <w:sz w:val="22"/>
                <w:szCs w:val="22"/>
              </w:rPr>
              <w:t xml:space="preserve"> </w:t>
            </w:r>
            <w:r w:rsidRPr="000077D3">
              <w:rPr>
                <w:rFonts w:ascii="Verdana" w:hAnsi="Verdana"/>
                <w:sz w:val="22"/>
                <w:szCs w:val="22"/>
              </w:rPr>
              <w:t>(daratumumab-hyaluronidase) 1,800 mg-30,000 units/15 mL SQ vial for high-risk smoldering multiple myeloma</w:t>
            </w:r>
          </w:p>
          <w:p w14:paraId="38BEAD85" w14:textId="5E4B3E89" w:rsidR="00081CCE" w:rsidRPr="0000785E" w:rsidRDefault="00081CCE" w:rsidP="00081CCE">
            <w:pPr>
              <w:pStyle w:val="Default"/>
              <w:rPr>
                <w:rFonts w:ascii="Verdana" w:hAnsi="Verdana" w:cstheme="minorBidi"/>
                <w:color w:val="auto"/>
                <w:sz w:val="22"/>
                <w:szCs w:val="22"/>
                <w14:ligatures w14:val="none"/>
              </w:rPr>
            </w:pPr>
          </w:p>
        </w:tc>
        <w:tc>
          <w:tcPr>
            <w:tcW w:w="3408" w:type="dxa"/>
            <w:shd w:val="clear" w:color="auto" w:fill="auto"/>
          </w:tcPr>
          <w:p w14:paraId="3E357413" w14:textId="77777777" w:rsidR="002543A7" w:rsidRPr="000077D3" w:rsidRDefault="002543A7" w:rsidP="002543A7">
            <w:pPr>
              <w:rPr>
                <w:rFonts w:ascii="Verdana" w:hAnsi="Verdana"/>
              </w:rPr>
            </w:pPr>
            <w:r w:rsidRPr="000077D3">
              <w:rPr>
                <w:rFonts w:ascii="Verdana" w:hAnsi="Verdana"/>
              </w:rPr>
              <w:t>NF: all lines of business</w:t>
            </w:r>
          </w:p>
          <w:p w14:paraId="0613AA00" w14:textId="6D89E60C" w:rsidR="00081CCE" w:rsidRPr="00AF03AD" w:rsidRDefault="00081CCE" w:rsidP="00081CCE">
            <w:pPr>
              <w:rPr>
                <w:rFonts w:ascii="Verdana" w:hAnsi="Verdana"/>
              </w:rPr>
            </w:pPr>
          </w:p>
        </w:tc>
        <w:tc>
          <w:tcPr>
            <w:tcW w:w="3664" w:type="dxa"/>
            <w:shd w:val="clear" w:color="auto" w:fill="auto"/>
          </w:tcPr>
          <w:p w14:paraId="1A85D788" w14:textId="77777777" w:rsidR="00081CCE" w:rsidRPr="00AF03AD" w:rsidRDefault="00081CCE" w:rsidP="00081CCE">
            <w:pPr>
              <w:rPr>
                <w:rFonts w:ascii="Verdana" w:hAnsi="Verdana"/>
              </w:rPr>
            </w:pPr>
            <w:r w:rsidRPr="00AF03AD">
              <w:rPr>
                <w:rFonts w:ascii="Verdana" w:hAnsi="Verdana"/>
              </w:rPr>
              <w:t>No change</w:t>
            </w:r>
          </w:p>
          <w:p w14:paraId="1BAA3641" w14:textId="62ECB6A1" w:rsidR="00081CCE" w:rsidRPr="00AF03AD" w:rsidRDefault="00081CCE" w:rsidP="00081CCE">
            <w:pPr>
              <w:rPr>
                <w:rFonts w:ascii="Verdana" w:hAnsi="Verdana"/>
              </w:rPr>
            </w:pPr>
          </w:p>
          <w:p w14:paraId="3B6D7DF1" w14:textId="77777777" w:rsidR="00081CCE" w:rsidRPr="00AF03AD" w:rsidRDefault="00081CCE" w:rsidP="00081CCE">
            <w:pPr>
              <w:rPr>
                <w:rFonts w:ascii="Verdana" w:hAnsi="Verdana"/>
              </w:rPr>
            </w:pPr>
          </w:p>
        </w:tc>
      </w:tr>
      <w:tr w:rsidR="00081CCE" w:rsidRPr="00852F8C" w14:paraId="6AFA6694" w14:textId="77777777" w:rsidTr="001F115A">
        <w:tc>
          <w:tcPr>
            <w:tcW w:w="3845" w:type="dxa"/>
            <w:shd w:val="clear" w:color="auto" w:fill="auto"/>
          </w:tcPr>
          <w:p w14:paraId="689B4283" w14:textId="77777777" w:rsidR="002543A7" w:rsidRPr="000077D3" w:rsidRDefault="002543A7" w:rsidP="002543A7">
            <w:pPr>
              <w:pStyle w:val="Default"/>
              <w:rPr>
                <w:rFonts w:ascii="Verdana" w:hAnsi="Verdana"/>
                <w:sz w:val="22"/>
                <w:szCs w:val="22"/>
              </w:rPr>
            </w:pPr>
            <w:r w:rsidRPr="000077D3">
              <w:rPr>
                <w:rFonts w:ascii="Verdana" w:hAnsi="Verdana"/>
                <w:b/>
                <w:bCs/>
                <w:sz w:val="22"/>
                <w:szCs w:val="22"/>
              </w:rPr>
              <w:t xml:space="preserve">Eylea HD </w:t>
            </w:r>
            <w:r w:rsidRPr="000077D3">
              <w:rPr>
                <w:rFonts w:ascii="Verdana" w:hAnsi="Verdana"/>
                <w:sz w:val="22"/>
                <w:szCs w:val="22"/>
              </w:rPr>
              <w:t>(aflibercept) 8 mg intravitreal vial for macular edema following retinal vein occlusion</w:t>
            </w:r>
          </w:p>
          <w:p w14:paraId="1A56E124" w14:textId="476F24B3" w:rsidR="00081CCE" w:rsidRPr="0000785E" w:rsidRDefault="00081CCE" w:rsidP="00081CCE">
            <w:pPr>
              <w:rPr>
                <w:rFonts w:ascii="Verdana" w:hAnsi="Verdana"/>
              </w:rPr>
            </w:pPr>
          </w:p>
        </w:tc>
        <w:tc>
          <w:tcPr>
            <w:tcW w:w="3408" w:type="dxa"/>
            <w:shd w:val="clear" w:color="auto" w:fill="auto"/>
          </w:tcPr>
          <w:p w14:paraId="7FF6346F" w14:textId="77777777" w:rsidR="002543A7" w:rsidRPr="000077D3" w:rsidRDefault="002543A7" w:rsidP="002543A7">
            <w:pPr>
              <w:rPr>
                <w:rFonts w:ascii="Verdana" w:hAnsi="Verdana"/>
              </w:rPr>
            </w:pPr>
            <w:r w:rsidRPr="000077D3">
              <w:rPr>
                <w:rFonts w:ascii="Verdana" w:hAnsi="Verdana"/>
              </w:rPr>
              <w:t>NF: all lines of business</w:t>
            </w:r>
          </w:p>
          <w:p w14:paraId="1207E7EA" w14:textId="07AB086E" w:rsidR="00081CCE" w:rsidRPr="007E4E57" w:rsidRDefault="00081CCE" w:rsidP="00081CCE">
            <w:pPr>
              <w:rPr>
                <w:rFonts w:ascii="Verdana" w:hAnsi="Verdana"/>
                <w:highlight w:val="yellow"/>
              </w:rPr>
            </w:pPr>
          </w:p>
        </w:tc>
        <w:tc>
          <w:tcPr>
            <w:tcW w:w="3664" w:type="dxa"/>
            <w:shd w:val="clear" w:color="auto" w:fill="auto"/>
          </w:tcPr>
          <w:p w14:paraId="6BF017C7" w14:textId="77777777" w:rsidR="00081CCE" w:rsidRPr="00AF03AD" w:rsidRDefault="00081CCE" w:rsidP="00081CCE">
            <w:pPr>
              <w:rPr>
                <w:rFonts w:ascii="Verdana" w:hAnsi="Verdana"/>
              </w:rPr>
            </w:pPr>
            <w:r w:rsidRPr="00AF03AD">
              <w:rPr>
                <w:rFonts w:ascii="Verdana" w:hAnsi="Verdana"/>
              </w:rPr>
              <w:t>No change</w:t>
            </w:r>
          </w:p>
          <w:p w14:paraId="5458BA92" w14:textId="77777777" w:rsidR="00081CCE" w:rsidRPr="00AF03AD" w:rsidRDefault="00081CCE" w:rsidP="00081CCE">
            <w:pPr>
              <w:rPr>
                <w:rFonts w:ascii="Verdana" w:hAnsi="Verdana"/>
              </w:rPr>
            </w:pPr>
          </w:p>
        </w:tc>
      </w:tr>
      <w:tr w:rsidR="00081CCE" w:rsidRPr="00852F8C" w14:paraId="17CA87CD" w14:textId="77777777" w:rsidTr="001F115A">
        <w:tc>
          <w:tcPr>
            <w:tcW w:w="3845" w:type="dxa"/>
            <w:shd w:val="clear" w:color="auto" w:fill="auto"/>
          </w:tcPr>
          <w:p w14:paraId="72B24324" w14:textId="77777777" w:rsidR="002543A7" w:rsidRPr="000077D3" w:rsidRDefault="002543A7" w:rsidP="002543A7">
            <w:pPr>
              <w:pStyle w:val="Default"/>
              <w:rPr>
                <w:rFonts w:ascii="Verdana" w:hAnsi="Verdana"/>
                <w:sz w:val="22"/>
                <w:szCs w:val="22"/>
              </w:rPr>
            </w:pPr>
            <w:r w:rsidRPr="000077D3">
              <w:rPr>
                <w:rFonts w:ascii="Verdana" w:hAnsi="Verdana"/>
                <w:b/>
                <w:bCs/>
                <w:sz w:val="22"/>
                <w:szCs w:val="22"/>
              </w:rPr>
              <w:t>Keytruda [</w:t>
            </w:r>
            <w:proofErr w:type="spellStart"/>
            <w:r w:rsidRPr="000077D3">
              <w:rPr>
                <w:rFonts w:ascii="Verdana" w:hAnsi="Verdana"/>
                <w:b/>
                <w:bCs/>
                <w:sz w:val="22"/>
                <w:szCs w:val="22"/>
              </w:rPr>
              <w:t>Qlex</w:t>
            </w:r>
            <w:proofErr w:type="spellEnd"/>
            <w:r w:rsidRPr="000077D3">
              <w:rPr>
                <w:rFonts w:ascii="Verdana" w:hAnsi="Verdana"/>
                <w:b/>
                <w:bCs/>
                <w:sz w:val="22"/>
                <w:szCs w:val="22"/>
              </w:rPr>
              <w:t xml:space="preserve">] </w:t>
            </w:r>
            <w:r w:rsidRPr="000077D3">
              <w:rPr>
                <w:rFonts w:ascii="Verdana" w:hAnsi="Verdana"/>
                <w:sz w:val="22"/>
                <w:szCs w:val="22"/>
              </w:rPr>
              <w:t>(pembrolizumab [+</w:t>
            </w:r>
            <w:proofErr w:type="spellStart"/>
            <w:r w:rsidRPr="000077D3">
              <w:rPr>
                <w:rFonts w:ascii="Verdana" w:hAnsi="Verdana"/>
                <w:sz w:val="22"/>
                <w:szCs w:val="22"/>
              </w:rPr>
              <w:t>berahyaluronidase</w:t>
            </w:r>
            <w:proofErr w:type="spellEnd"/>
            <w:r w:rsidRPr="000077D3">
              <w:rPr>
                <w:rFonts w:ascii="Verdana" w:hAnsi="Verdana"/>
                <w:sz w:val="22"/>
                <w:szCs w:val="22"/>
              </w:rPr>
              <w:t xml:space="preserve"> alfa]) + </w:t>
            </w:r>
            <w:proofErr w:type="spellStart"/>
            <w:r w:rsidRPr="000077D3">
              <w:rPr>
                <w:rFonts w:ascii="Verdana" w:hAnsi="Verdana"/>
                <w:sz w:val="22"/>
                <w:szCs w:val="22"/>
              </w:rPr>
              <w:t>Padcev</w:t>
            </w:r>
            <w:proofErr w:type="spellEnd"/>
            <w:r w:rsidRPr="000077D3">
              <w:rPr>
                <w:rFonts w:ascii="Verdana" w:hAnsi="Verdana"/>
                <w:sz w:val="22"/>
                <w:szCs w:val="22"/>
              </w:rPr>
              <w:t xml:space="preserve"> (</w:t>
            </w:r>
            <w:proofErr w:type="spellStart"/>
            <w:r w:rsidRPr="000077D3">
              <w:rPr>
                <w:rFonts w:ascii="Verdana" w:hAnsi="Verdana"/>
                <w:sz w:val="22"/>
                <w:szCs w:val="22"/>
              </w:rPr>
              <w:t>enfortumab</w:t>
            </w:r>
            <w:proofErr w:type="spellEnd"/>
            <w:r w:rsidRPr="000077D3">
              <w:rPr>
                <w:rFonts w:ascii="Verdana" w:hAnsi="Verdana"/>
                <w:sz w:val="22"/>
                <w:szCs w:val="22"/>
              </w:rPr>
              <w:t xml:space="preserve"> </w:t>
            </w:r>
            <w:proofErr w:type="spellStart"/>
            <w:r w:rsidRPr="000077D3">
              <w:rPr>
                <w:rFonts w:ascii="Verdana" w:hAnsi="Verdana"/>
                <w:sz w:val="22"/>
                <w:szCs w:val="22"/>
              </w:rPr>
              <w:t>vedotin</w:t>
            </w:r>
            <w:proofErr w:type="spellEnd"/>
            <w:r w:rsidRPr="000077D3">
              <w:rPr>
                <w:rFonts w:ascii="Verdana" w:hAnsi="Verdana"/>
                <w:sz w:val="22"/>
                <w:szCs w:val="22"/>
              </w:rPr>
              <w:t xml:space="preserve">) as neoadjuvant </w:t>
            </w:r>
            <w:proofErr w:type="spellStart"/>
            <w:r w:rsidRPr="000077D3">
              <w:rPr>
                <w:rFonts w:ascii="Verdana" w:hAnsi="Verdana"/>
                <w:sz w:val="22"/>
                <w:szCs w:val="22"/>
              </w:rPr>
              <w:t>tx</w:t>
            </w:r>
            <w:proofErr w:type="spellEnd"/>
            <w:r w:rsidRPr="000077D3">
              <w:rPr>
                <w:rFonts w:ascii="Verdana" w:hAnsi="Verdana"/>
                <w:sz w:val="22"/>
                <w:szCs w:val="22"/>
              </w:rPr>
              <w:t xml:space="preserve"> &amp; continued after cystectomy as adjuvant </w:t>
            </w:r>
            <w:proofErr w:type="spellStart"/>
            <w:r w:rsidRPr="000077D3">
              <w:rPr>
                <w:rFonts w:ascii="Verdana" w:hAnsi="Verdana"/>
                <w:sz w:val="22"/>
                <w:szCs w:val="22"/>
              </w:rPr>
              <w:t>tx</w:t>
            </w:r>
            <w:proofErr w:type="spellEnd"/>
            <w:r w:rsidRPr="000077D3">
              <w:rPr>
                <w:rFonts w:ascii="Verdana" w:hAnsi="Verdana"/>
                <w:sz w:val="22"/>
                <w:szCs w:val="22"/>
              </w:rPr>
              <w:t xml:space="preserve"> </w:t>
            </w:r>
            <w:r w:rsidRPr="000077D3">
              <w:rPr>
                <w:rFonts w:ascii="Verdana" w:hAnsi="Verdana"/>
                <w:sz w:val="22"/>
                <w:szCs w:val="22"/>
              </w:rPr>
              <w:lastRenderedPageBreak/>
              <w:t>in adults with muscle invasive bladder cancer who are ineligible for cisplatin-containing chemotherapy</w:t>
            </w:r>
          </w:p>
          <w:p w14:paraId="69CC1936" w14:textId="29F04A9E" w:rsidR="00081CCE" w:rsidRPr="00081CCE" w:rsidRDefault="00081CCE" w:rsidP="00081CCE">
            <w:pPr>
              <w:pStyle w:val="Default"/>
              <w:rPr>
                <w:rFonts w:ascii="Verdana" w:hAnsi="Verdana"/>
                <w:sz w:val="22"/>
                <w:szCs w:val="22"/>
              </w:rPr>
            </w:pPr>
          </w:p>
        </w:tc>
        <w:tc>
          <w:tcPr>
            <w:tcW w:w="3408" w:type="dxa"/>
            <w:shd w:val="clear" w:color="auto" w:fill="auto"/>
          </w:tcPr>
          <w:p w14:paraId="0373FF3F" w14:textId="77777777" w:rsidR="002543A7" w:rsidRPr="000077D3" w:rsidRDefault="002543A7" w:rsidP="002543A7">
            <w:pPr>
              <w:rPr>
                <w:rFonts w:ascii="Verdana" w:hAnsi="Verdana"/>
              </w:rPr>
            </w:pPr>
            <w:r w:rsidRPr="000077D3">
              <w:rPr>
                <w:rFonts w:ascii="Verdana" w:hAnsi="Verdana"/>
              </w:rPr>
              <w:lastRenderedPageBreak/>
              <w:t>NF: all lines of business</w:t>
            </w:r>
          </w:p>
          <w:p w14:paraId="55F02075" w14:textId="419FC90A" w:rsidR="00081CCE" w:rsidRPr="00AF03AD" w:rsidRDefault="00081CCE" w:rsidP="00081CCE">
            <w:pPr>
              <w:rPr>
                <w:rFonts w:ascii="Verdana" w:hAnsi="Verdana"/>
              </w:rPr>
            </w:pPr>
          </w:p>
        </w:tc>
        <w:tc>
          <w:tcPr>
            <w:tcW w:w="3664" w:type="dxa"/>
            <w:shd w:val="clear" w:color="auto" w:fill="auto"/>
          </w:tcPr>
          <w:p w14:paraId="74CD2806" w14:textId="77777777" w:rsidR="00081CCE" w:rsidRPr="00AF03AD" w:rsidRDefault="00081CCE" w:rsidP="00081CCE">
            <w:pPr>
              <w:rPr>
                <w:rFonts w:ascii="Verdana" w:hAnsi="Verdana"/>
              </w:rPr>
            </w:pPr>
            <w:r w:rsidRPr="00AF03AD">
              <w:rPr>
                <w:rFonts w:ascii="Verdana" w:hAnsi="Verdana"/>
              </w:rPr>
              <w:t>No change</w:t>
            </w:r>
          </w:p>
          <w:p w14:paraId="7819FB4C" w14:textId="77777777" w:rsidR="00081CCE" w:rsidRPr="00AF03AD" w:rsidRDefault="00081CCE" w:rsidP="00081CCE">
            <w:pPr>
              <w:rPr>
                <w:rFonts w:ascii="Verdana" w:hAnsi="Verdana"/>
              </w:rPr>
            </w:pPr>
          </w:p>
        </w:tc>
      </w:tr>
      <w:tr w:rsidR="00081CCE" w:rsidRPr="00852F8C" w14:paraId="7FD52854" w14:textId="77777777" w:rsidTr="001F115A">
        <w:tc>
          <w:tcPr>
            <w:tcW w:w="3845" w:type="dxa"/>
            <w:shd w:val="clear" w:color="auto" w:fill="auto"/>
          </w:tcPr>
          <w:p w14:paraId="092F6B40" w14:textId="77777777" w:rsidR="002543A7" w:rsidRPr="000077D3" w:rsidRDefault="002543A7" w:rsidP="002543A7">
            <w:pPr>
              <w:pStyle w:val="Default"/>
              <w:rPr>
                <w:rFonts w:ascii="Verdana" w:hAnsi="Verdana"/>
                <w:sz w:val="22"/>
                <w:szCs w:val="22"/>
              </w:rPr>
            </w:pPr>
            <w:r w:rsidRPr="000077D3">
              <w:rPr>
                <w:rFonts w:ascii="Verdana" w:hAnsi="Verdana"/>
                <w:b/>
                <w:bCs/>
                <w:sz w:val="22"/>
                <w:szCs w:val="22"/>
              </w:rPr>
              <w:t>Imfinzi</w:t>
            </w:r>
            <w:r w:rsidRPr="000077D3">
              <w:rPr>
                <w:rFonts w:ascii="Verdana" w:hAnsi="Verdana"/>
                <w:sz w:val="22"/>
                <w:szCs w:val="22"/>
              </w:rPr>
              <w:t xml:space="preserve"> (durvalumab) 50 mg/mL IV vials in combination with fluorouracil, leucovorin, oxaliplatin, &amp; docetaxel as neoadjuvant and adjuvant treatment followed by </w:t>
            </w:r>
            <w:proofErr w:type="gramStart"/>
            <w:r w:rsidRPr="000077D3">
              <w:rPr>
                <w:rFonts w:ascii="Verdana" w:hAnsi="Verdana"/>
                <w:sz w:val="22"/>
                <w:szCs w:val="22"/>
              </w:rPr>
              <w:t>single-agent</w:t>
            </w:r>
            <w:proofErr w:type="gramEnd"/>
            <w:r w:rsidRPr="000077D3">
              <w:rPr>
                <w:rFonts w:ascii="Verdana" w:hAnsi="Verdana"/>
                <w:sz w:val="22"/>
                <w:szCs w:val="22"/>
              </w:rPr>
              <w:t xml:space="preserve"> durvalumab for adults with </w:t>
            </w:r>
            <w:proofErr w:type="spellStart"/>
            <w:r w:rsidRPr="000077D3">
              <w:rPr>
                <w:rFonts w:ascii="Verdana" w:hAnsi="Verdana"/>
                <w:sz w:val="22"/>
                <w:szCs w:val="22"/>
              </w:rPr>
              <w:t>resectable</w:t>
            </w:r>
            <w:proofErr w:type="spellEnd"/>
            <w:r w:rsidRPr="000077D3">
              <w:rPr>
                <w:rFonts w:ascii="Verdana" w:hAnsi="Verdana"/>
                <w:sz w:val="22"/>
                <w:szCs w:val="22"/>
              </w:rPr>
              <w:t xml:space="preserve"> gastric or gastroesophageal junction adenocarcinoma</w:t>
            </w:r>
          </w:p>
          <w:p w14:paraId="71BB1DA5" w14:textId="026B5BE8" w:rsidR="00081CCE" w:rsidRPr="0000785E" w:rsidRDefault="00081CCE" w:rsidP="00081CCE">
            <w:pPr>
              <w:pStyle w:val="Default"/>
              <w:rPr>
                <w:rFonts w:ascii="Verdana" w:hAnsi="Verdana" w:cstheme="minorBidi"/>
                <w:color w:val="auto"/>
                <w:sz w:val="22"/>
                <w:szCs w:val="22"/>
                <w14:ligatures w14:val="none"/>
              </w:rPr>
            </w:pPr>
          </w:p>
        </w:tc>
        <w:tc>
          <w:tcPr>
            <w:tcW w:w="3408" w:type="dxa"/>
            <w:shd w:val="clear" w:color="auto" w:fill="auto"/>
          </w:tcPr>
          <w:p w14:paraId="06E68F1B" w14:textId="77777777" w:rsidR="002543A7" w:rsidRPr="000077D3" w:rsidRDefault="002543A7" w:rsidP="002543A7">
            <w:pPr>
              <w:rPr>
                <w:rFonts w:ascii="Verdana" w:hAnsi="Verdana"/>
              </w:rPr>
            </w:pPr>
            <w:r w:rsidRPr="000077D3">
              <w:rPr>
                <w:rFonts w:ascii="Verdana" w:hAnsi="Verdana"/>
              </w:rPr>
              <w:t>NF: all lines of business</w:t>
            </w:r>
          </w:p>
          <w:p w14:paraId="326D34FC" w14:textId="77777777" w:rsidR="00081CCE" w:rsidRPr="00AF03AD" w:rsidRDefault="00081CCE" w:rsidP="00081CCE">
            <w:pPr>
              <w:rPr>
                <w:rFonts w:ascii="Verdana" w:hAnsi="Verdana"/>
              </w:rPr>
            </w:pPr>
          </w:p>
        </w:tc>
        <w:tc>
          <w:tcPr>
            <w:tcW w:w="3664" w:type="dxa"/>
            <w:shd w:val="clear" w:color="auto" w:fill="auto"/>
          </w:tcPr>
          <w:p w14:paraId="7D855C65" w14:textId="77777777" w:rsidR="00081CCE" w:rsidRPr="00AF03AD" w:rsidRDefault="00081CCE" w:rsidP="00081CCE">
            <w:pPr>
              <w:rPr>
                <w:rFonts w:ascii="Verdana" w:hAnsi="Verdana"/>
              </w:rPr>
            </w:pPr>
            <w:r w:rsidRPr="00AF03AD">
              <w:rPr>
                <w:rFonts w:ascii="Verdana" w:hAnsi="Verdana"/>
              </w:rPr>
              <w:t>No change</w:t>
            </w:r>
          </w:p>
          <w:p w14:paraId="22966CB5" w14:textId="77777777" w:rsidR="00081CCE" w:rsidRPr="00AF03AD" w:rsidRDefault="00081CCE" w:rsidP="00081CCE">
            <w:pPr>
              <w:rPr>
                <w:rFonts w:ascii="Verdana" w:hAnsi="Verdana"/>
              </w:rPr>
            </w:pPr>
          </w:p>
        </w:tc>
      </w:tr>
      <w:tr w:rsidR="00081CCE" w:rsidRPr="00852F8C" w14:paraId="4C1157FE" w14:textId="77777777" w:rsidTr="001F115A">
        <w:tc>
          <w:tcPr>
            <w:tcW w:w="3845" w:type="dxa"/>
            <w:shd w:val="clear" w:color="auto" w:fill="auto"/>
          </w:tcPr>
          <w:p w14:paraId="2987B41C" w14:textId="4DADCD31" w:rsidR="00081CCE" w:rsidRPr="0000785E" w:rsidRDefault="002543A7" w:rsidP="00081CCE">
            <w:pPr>
              <w:pStyle w:val="Default"/>
              <w:rPr>
                <w:rFonts w:ascii="Verdana" w:hAnsi="Verdana" w:cstheme="minorBidi"/>
                <w:color w:val="auto"/>
                <w:sz w:val="22"/>
                <w:szCs w:val="22"/>
                <w14:ligatures w14:val="none"/>
              </w:rPr>
            </w:pPr>
            <w:proofErr w:type="spellStart"/>
            <w:r w:rsidRPr="000077D3">
              <w:rPr>
                <w:rFonts w:ascii="Verdana" w:hAnsi="Verdana"/>
                <w:b/>
                <w:bCs/>
                <w:sz w:val="22"/>
                <w:szCs w:val="22"/>
              </w:rPr>
              <w:t>Epkinly</w:t>
            </w:r>
            <w:proofErr w:type="spellEnd"/>
            <w:r w:rsidRPr="000077D3">
              <w:rPr>
                <w:rFonts w:ascii="Verdana" w:hAnsi="Verdana"/>
                <w:sz w:val="22"/>
                <w:szCs w:val="22"/>
              </w:rPr>
              <w:t xml:space="preserve"> (</w:t>
            </w:r>
            <w:proofErr w:type="spellStart"/>
            <w:r w:rsidRPr="000077D3">
              <w:rPr>
                <w:rFonts w:ascii="Verdana" w:hAnsi="Verdana"/>
                <w:sz w:val="22"/>
                <w:szCs w:val="22"/>
              </w:rPr>
              <w:t>epcoritamab</w:t>
            </w:r>
            <w:proofErr w:type="spellEnd"/>
            <w:r w:rsidRPr="000077D3">
              <w:rPr>
                <w:rFonts w:ascii="Verdana" w:hAnsi="Verdana"/>
                <w:sz w:val="22"/>
                <w:szCs w:val="22"/>
              </w:rPr>
              <w:t>) 4 mg/0.8 mL &amp; 48 mg/0.8 mL SQ vials (1) in combination with lenalidomide and rituximab for adults with relapsed or</w:t>
            </w:r>
            <w:r>
              <w:rPr>
                <w:rFonts w:ascii="Verdana" w:hAnsi="Verdana"/>
                <w:sz w:val="22"/>
                <w:szCs w:val="22"/>
              </w:rPr>
              <w:t xml:space="preserve"> </w:t>
            </w:r>
            <w:r w:rsidRPr="000077D3">
              <w:rPr>
                <w:rFonts w:ascii="Verdana" w:hAnsi="Verdana"/>
                <w:sz w:val="22"/>
                <w:szCs w:val="22"/>
              </w:rPr>
              <w:t>refractory (R/R) follicular lymphoma (FL) (2) traditional approval for R/R FL after = 2 lines of systemic therapy</w:t>
            </w:r>
          </w:p>
        </w:tc>
        <w:tc>
          <w:tcPr>
            <w:tcW w:w="3408" w:type="dxa"/>
            <w:shd w:val="clear" w:color="auto" w:fill="auto"/>
          </w:tcPr>
          <w:p w14:paraId="4ED5AF59" w14:textId="77777777" w:rsidR="002543A7" w:rsidRPr="000077D3" w:rsidRDefault="002543A7" w:rsidP="002543A7">
            <w:pPr>
              <w:rPr>
                <w:rFonts w:ascii="Verdana" w:hAnsi="Verdana"/>
              </w:rPr>
            </w:pPr>
            <w:r w:rsidRPr="000077D3">
              <w:rPr>
                <w:rFonts w:ascii="Verdana" w:hAnsi="Verdana"/>
              </w:rPr>
              <w:t>NF: all lines of business</w:t>
            </w:r>
          </w:p>
          <w:p w14:paraId="56156AB1" w14:textId="334A091B" w:rsidR="00081CCE" w:rsidRPr="00AF03AD" w:rsidRDefault="00081CCE" w:rsidP="00081CCE">
            <w:pPr>
              <w:rPr>
                <w:rFonts w:ascii="Verdana" w:hAnsi="Verdana"/>
              </w:rPr>
            </w:pPr>
          </w:p>
        </w:tc>
        <w:tc>
          <w:tcPr>
            <w:tcW w:w="3664" w:type="dxa"/>
            <w:shd w:val="clear" w:color="auto" w:fill="auto"/>
          </w:tcPr>
          <w:p w14:paraId="00369664" w14:textId="77777777" w:rsidR="00081CCE" w:rsidRPr="00AF03AD" w:rsidRDefault="00081CCE" w:rsidP="00081CCE">
            <w:pPr>
              <w:rPr>
                <w:rFonts w:ascii="Verdana" w:hAnsi="Verdana"/>
              </w:rPr>
            </w:pPr>
            <w:r w:rsidRPr="00AF03AD">
              <w:rPr>
                <w:rFonts w:ascii="Verdana" w:hAnsi="Verdana"/>
              </w:rPr>
              <w:t>No change</w:t>
            </w:r>
          </w:p>
          <w:p w14:paraId="0EAADDF2" w14:textId="77777777" w:rsidR="00081CCE" w:rsidRPr="00AF03AD" w:rsidRDefault="00081CCE" w:rsidP="00081CCE">
            <w:pPr>
              <w:rPr>
                <w:rFonts w:ascii="Verdana" w:hAnsi="Verdana"/>
              </w:rPr>
            </w:pPr>
          </w:p>
        </w:tc>
      </w:tr>
      <w:tr w:rsidR="00081CCE" w:rsidRPr="00852F8C" w14:paraId="21A8E4DC" w14:textId="77777777" w:rsidTr="001F115A">
        <w:tc>
          <w:tcPr>
            <w:tcW w:w="3845" w:type="dxa"/>
            <w:shd w:val="clear" w:color="auto" w:fill="auto"/>
          </w:tcPr>
          <w:p w14:paraId="2984473E" w14:textId="1ADF300E"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Linzess</w:t>
            </w:r>
            <w:proofErr w:type="spellEnd"/>
            <w:r w:rsidRPr="000077D3">
              <w:rPr>
                <w:rFonts w:ascii="Verdana" w:hAnsi="Verdana"/>
                <w:b/>
                <w:bCs/>
                <w:sz w:val="22"/>
                <w:szCs w:val="22"/>
              </w:rPr>
              <w:t xml:space="preserve"> </w:t>
            </w:r>
            <w:r w:rsidRPr="000077D3">
              <w:rPr>
                <w:rFonts w:ascii="Verdana" w:hAnsi="Verdana"/>
                <w:sz w:val="22"/>
                <w:szCs w:val="22"/>
              </w:rPr>
              <w:t>(linaclotide) 145 mcg capsules for irritable bowel syndrome with constipation (IBS-C) in pediatrics ≥ 7 years (age expansion)</w:t>
            </w:r>
          </w:p>
          <w:p w14:paraId="0475C968" w14:textId="5FA96972" w:rsidR="00081CCE" w:rsidRPr="0000785E" w:rsidRDefault="00081CCE" w:rsidP="00081CCE">
            <w:pPr>
              <w:pStyle w:val="Default"/>
              <w:rPr>
                <w:rFonts w:ascii="Verdana" w:hAnsi="Verdana" w:cstheme="minorBidi"/>
                <w:color w:val="auto"/>
                <w:sz w:val="22"/>
                <w:szCs w:val="22"/>
                <w14:ligatures w14:val="none"/>
              </w:rPr>
            </w:pPr>
          </w:p>
        </w:tc>
        <w:tc>
          <w:tcPr>
            <w:tcW w:w="3408" w:type="dxa"/>
            <w:shd w:val="clear" w:color="auto" w:fill="auto"/>
          </w:tcPr>
          <w:p w14:paraId="71835E62" w14:textId="77777777" w:rsidR="002543A7" w:rsidRPr="000077D3" w:rsidRDefault="002543A7" w:rsidP="002543A7">
            <w:pPr>
              <w:rPr>
                <w:rFonts w:ascii="Verdana" w:hAnsi="Verdana"/>
              </w:rPr>
            </w:pPr>
            <w:r w:rsidRPr="000077D3">
              <w:rPr>
                <w:rFonts w:ascii="Verdana" w:hAnsi="Verdana"/>
              </w:rPr>
              <w:t>F: all lines of business</w:t>
            </w:r>
          </w:p>
          <w:p w14:paraId="35BC5E98" w14:textId="77777777" w:rsidR="00081CCE" w:rsidRPr="00AF03AD" w:rsidRDefault="00081CCE" w:rsidP="00081CCE">
            <w:pPr>
              <w:rPr>
                <w:rFonts w:ascii="Verdana" w:hAnsi="Verdana"/>
              </w:rPr>
            </w:pPr>
          </w:p>
        </w:tc>
        <w:tc>
          <w:tcPr>
            <w:tcW w:w="3664" w:type="dxa"/>
            <w:shd w:val="clear" w:color="auto" w:fill="auto"/>
          </w:tcPr>
          <w:p w14:paraId="49342C01" w14:textId="77777777" w:rsidR="00081CCE" w:rsidRPr="00AF03AD" w:rsidRDefault="00081CCE" w:rsidP="00081CCE">
            <w:pPr>
              <w:rPr>
                <w:rFonts w:ascii="Verdana" w:hAnsi="Verdana"/>
              </w:rPr>
            </w:pPr>
            <w:r w:rsidRPr="00AF03AD">
              <w:rPr>
                <w:rFonts w:ascii="Verdana" w:hAnsi="Verdana"/>
              </w:rPr>
              <w:t>No change</w:t>
            </w:r>
          </w:p>
          <w:p w14:paraId="1685AF75" w14:textId="77777777" w:rsidR="00081CCE" w:rsidRPr="00AF03AD" w:rsidRDefault="00081CCE" w:rsidP="00081CCE">
            <w:pPr>
              <w:rPr>
                <w:rFonts w:ascii="Verdana" w:hAnsi="Verdana"/>
              </w:rPr>
            </w:pPr>
          </w:p>
        </w:tc>
      </w:tr>
      <w:tr w:rsidR="00081CCE" w:rsidRPr="00852F8C" w14:paraId="5D030395" w14:textId="77777777" w:rsidTr="001F115A">
        <w:tc>
          <w:tcPr>
            <w:tcW w:w="3845" w:type="dxa"/>
            <w:shd w:val="clear" w:color="auto" w:fill="auto"/>
          </w:tcPr>
          <w:p w14:paraId="4F892E18"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Akeega</w:t>
            </w:r>
            <w:proofErr w:type="spellEnd"/>
            <w:r w:rsidRPr="000077D3">
              <w:rPr>
                <w:rFonts w:ascii="Verdana" w:hAnsi="Verdana"/>
                <w:sz w:val="22"/>
                <w:szCs w:val="22"/>
              </w:rPr>
              <w:t xml:space="preserve"> (niraparib-abiraterone) 50-500 &amp; 100-500 mg tablets for BRCA2-mutated metastatic castration-sensitive prostate cancer</w:t>
            </w:r>
          </w:p>
          <w:p w14:paraId="7CE2438D" w14:textId="6BB171DA" w:rsidR="00081CCE" w:rsidRPr="0000785E" w:rsidRDefault="00081CCE" w:rsidP="00081CCE">
            <w:pPr>
              <w:rPr>
                <w:rFonts w:ascii="Verdana" w:hAnsi="Verdana"/>
              </w:rPr>
            </w:pPr>
          </w:p>
        </w:tc>
        <w:tc>
          <w:tcPr>
            <w:tcW w:w="3408" w:type="dxa"/>
            <w:shd w:val="clear" w:color="auto" w:fill="auto"/>
          </w:tcPr>
          <w:p w14:paraId="75660A0F" w14:textId="77777777" w:rsidR="002543A7" w:rsidRPr="000077D3" w:rsidRDefault="002543A7" w:rsidP="002543A7">
            <w:pPr>
              <w:rPr>
                <w:rFonts w:ascii="Verdana" w:hAnsi="Verdana"/>
              </w:rPr>
            </w:pPr>
            <w:r w:rsidRPr="000077D3">
              <w:rPr>
                <w:rFonts w:ascii="Verdana" w:hAnsi="Verdana"/>
              </w:rPr>
              <w:t>F: all lines of business</w:t>
            </w:r>
          </w:p>
          <w:p w14:paraId="0F468338" w14:textId="77777777" w:rsidR="00081CCE" w:rsidRPr="00AF03AD" w:rsidRDefault="00081CCE" w:rsidP="00081CCE">
            <w:pPr>
              <w:rPr>
                <w:rFonts w:ascii="Verdana" w:hAnsi="Verdana"/>
              </w:rPr>
            </w:pPr>
          </w:p>
        </w:tc>
        <w:tc>
          <w:tcPr>
            <w:tcW w:w="3664" w:type="dxa"/>
            <w:shd w:val="clear" w:color="auto" w:fill="auto"/>
          </w:tcPr>
          <w:p w14:paraId="71890C9C" w14:textId="77777777" w:rsidR="00081CCE" w:rsidRPr="00AF03AD" w:rsidRDefault="00081CCE" w:rsidP="00081CCE">
            <w:pPr>
              <w:rPr>
                <w:rFonts w:ascii="Verdana" w:hAnsi="Verdana"/>
              </w:rPr>
            </w:pPr>
            <w:r w:rsidRPr="00AF03AD">
              <w:rPr>
                <w:rFonts w:ascii="Verdana" w:hAnsi="Verdana"/>
              </w:rPr>
              <w:t>No change</w:t>
            </w:r>
          </w:p>
          <w:p w14:paraId="1F24ACB9" w14:textId="77777777" w:rsidR="00081CCE" w:rsidRPr="00AF03AD" w:rsidRDefault="00081CCE" w:rsidP="00081CCE">
            <w:pPr>
              <w:rPr>
                <w:rFonts w:ascii="Verdana" w:hAnsi="Verdana"/>
              </w:rPr>
            </w:pPr>
          </w:p>
        </w:tc>
      </w:tr>
      <w:tr w:rsidR="00081CCE" w:rsidRPr="00852F8C" w14:paraId="215003E8" w14:textId="77777777" w:rsidTr="001F115A">
        <w:tc>
          <w:tcPr>
            <w:tcW w:w="3845" w:type="dxa"/>
            <w:shd w:val="clear" w:color="auto" w:fill="auto"/>
          </w:tcPr>
          <w:p w14:paraId="79E134EF"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Rubraca</w:t>
            </w:r>
            <w:proofErr w:type="spellEnd"/>
            <w:r w:rsidRPr="000077D3">
              <w:rPr>
                <w:rFonts w:ascii="Verdana" w:hAnsi="Verdana"/>
                <w:b/>
                <w:bCs/>
                <w:sz w:val="22"/>
                <w:szCs w:val="22"/>
              </w:rPr>
              <w:t xml:space="preserve"> </w:t>
            </w:r>
            <w:r w:rsidRPr="000077D3">
              <w:rPr>
                <w:rFonts w:ascii="Verdana" w:hAnsi="Verdana"/>
                <w:sz w:val="22"/>
                <w:szCs w:val="22"/>
              </w:rPr>
              <w:t>(rucaparib) 200, 250, &amp; 300 mg tablets for deleterious BRCA mutation-associated metastatic castration-resistant prostate cancer for patients previously treated with androgen</w:t>
            </w:r>
            <w:r>
              <w:rPr>
                <w:rFonts w:ascii="Verdana" w:hAnsi="Verdana"/>
                <w:sz w:val="22"/>
                <w:szCs w:val="22"/>
              </w:rPr>
              <w:t xml:space="preserve"> </w:t>
            </w:r>
            <w:r w:rsidRPr="000077D3">
              <w:rPr>
                <w:rFonts w:ascii="Verdana" w:hAnsi="Verdana"/>
                <w:sz w:val="22"/>
                <w:szCs w:val="22"/>
              </w:rPr>
              <w:t xml:space="preserve">receptor-directed </w:t>
            </w:r>
            <w:proofErr w:type="spellStart"/>
            <w:r w:rsidRPr="000077D3">
              <w:rPr>
                <w:rFonts w:ascii="Verdana" w:hAnsi="Verdana"/>
                <w:sz w:val="22"/>
                <w:szCs w:val="22"/>
              </w:rPr>
              <w:t>therapyrefractory</w:t>
            </w:r>
            <w:proofErr w:type="spellEnd"/>
            <w:r w:rsidRPr="000077D3">
              <w:rPr>
                <w:rFonts w:ascii="Verdana" w:hAnsi="Verdana"/>
                <w:sz w:val="22"/>
                <w:szCs w:val="22"/>
              </w:rPr>
              <w:t xml:space="preserve"> follicular lymphoma</w:t>
            </w:r>
          </w:p>
          <w:p w14:paraId="3947B66E" w14:textId="4FB8B015" w:rsidR="00081CCE" w:rsidRPr="0000785E" w:rsidRDefault="00081CCE" w:rsidP="00081CCE">
            <w:pPr>
              <w:pStyle w:val="Default"/>
              <w:rPr>
                <w:rFonts w:ascii="Verdana" w:hAnsi="Verdana" w:cstheme="minorBidi"/>
                <w:color w:val="auto"/>
                <w:sz w:val="22"/>
                <w:szCs w:val="22"/>
                <w14:ligatures w14:val="none"/>
              </w:rPr>
            </w:pPr>
          </w:p>
        </w:tc>
        <w:tc>
          <w:tcPr>
            <w:tcW w:w="3408" w:type="dxa"/>
            <w:shd w:val="clear" w:color="auto" w:fill="auto"/>
          </w:tcPr>
          <w:p w14:paraId="4E6F5269" w14:textId="77777777" w:rsidR="002543A7" w:rsidRPr="000077D3" w:rsidRDefault="002543A7" w:rsidP="002543A7">
            <w:pPr>
              <w:rPr>
                <w:rFonts w:ascii="Verdana" w:hAnsi="Verdana"/>
              </w:rPr>
            </w:pPr>
            <w:r w:rsidRPr="000077D3">
              <w:rPr>
                <w:rFonts w:ascii="Verdana" w:hAnsi="Verdana"/>
              </w:rPr>
              <w:lastRenderedPageBreak/>
              <w:t>F: all lines of business</w:t>
            </w:r>
          </w:p>
          <w:p w14:paraId="0F2E68CA" w14:textId="1169963C" w:rsidR="00081CCE" w:rsidRPr="00AF03AD" w:rsidRDefault="00081CCE" w:rsidP="00081CCE">
            <w:pPr>
              <w:rPr>
                <w:rFonts w:ascii="Verdana" w:hAnsi="Verdana"/>
              </w:rPr>
            </w:pPr>
          </w:p>
        </w:tc>
        <w:tc>
          <w:tcPr>
            <w:tcW w:w="3664" w:type="dxa"/>
            <w:shd w:val="clear" w:color="auto" w:fill="auto"/>
          </w:tcPr>
          <w:p w14:paraId="31B5BAA1" w14:textId="77777777" w:rsidR="00081CCE" w:rsidRPr="00AF03AD" w:rsidRDefault="00081CCE" w:rsidP="00081CCE">
            <w:pPr>
              <w:rPr>
                <w:rFonts w:ascii="Verdana" w:hAnsi="Verdana"/>
              </w:rPr>
            </w:pPr>
            <w:r w:rsidRPr="00AF03AD">
              <w:rPr>
                <w:rFonts w:ascii="Verdana" w:hAnsi="Verdana"/>
              </w:rPr>
              <w:t>No change</w:t>
            </w:r>
          </w:p>
          <w:p w14:paraId="0276C429" w14:textId="77777777" w:rsidR="00081CCE" w:rsidRPr="00AF03AD" w:rsidRDefault="00081CCE" w:rsidP="00081CCE">
            <w:pPr>
              <w:rPr>
                <w:rFonts w:ascii="Verdana" w:hAnsi="Verdana"/>
              </w:rPr>
            </w:pPr>
          </w:p>
        </w:tc>
      </w:tr>
      <w:tr w:rsidR="00081CCE" w:rsidRPr="00852F8C" w14:paraId="7C8936F3" w14:textId="77777777" w:rsidTr="001F115A">
        <w:tc>
          <w:tcPr>
            <w:tcW w:w="3845" w:type="dxa"/>
            <w:shd w:val="clear" w:color="auto" w:fill="auto"/>
          </w:tcPr>
          <w:p w14:paraId="1E747537"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Jaypirca</w:t>
            </w:r>
            <w:proofErr w:type="spellEnd"/>
            <w:r w:rsidRPr="000077D3">
              <w:rPr>
                <w:rFonts w:ascii="Verdana" w:hAnsi="Verdana"/>
                <w:sz w:val="22"/>
                <w:szCs w:val="22"/>
              </w:rPr>
              <w:t xml:space="preserve"> (</w:t>
            </w:r>
            <w:proofErr w:type="spellStart"/>
            <w:r w:rsidRPr="000077D3">
              <w:rPr>
                <w:rFonts w:ascii="Verdana" w:hAnsi="Verdana"/>
                <w:sz w:val="22"/>
                <w:szCs w:val="22"/>
              </w:rPr>
              <w:t>pirtobrutinib</w:t>
            </w:r>
            <w:proofErr w:type="spellEnd"/>
            <w:r w:rsidRPr="000077D3">
              <w:rPr>
                <w:rFonts w:ascii="Verdana" w:hAnsi="Verdana"/>
                <w:sz w:val="22"/>
                <w:szCs w:val="22"/>
              </w:rPr>
              <w:t>) 50 &amp; 100 mg tablets for R/R chronic lymphocytic leukemia or small lymphocytic lymphoma (CLL/SLL) previously treated with a covalent BTK inhibitor</w:t>
            </w:r>
          </w:p>
          <w:p w14:paraId="04859285" w14:textId="57CD3277" w:rsidR="00081CCE" w:rsidRPr="0000785E" w:rsidRDefault="00081CCE" w:rsidP="00081CCE">
            <w:pPr>
              <w:pStyle w:val="Default"/>
              <w:rPr>
                <w:rFonts w:ascii="Verdana" w:hAnsi="Verdana" w:cstheme="minorBidi"/>
                <w:color w:val="auto"/>
                <w:sz w:val="22"/>
                <w:szCs w:val="22"/>
                <w14:ligatures w14:val="none"/>
              </w:rPr>
            </w:pPr>
          </w:p>
        </w:tc>
        <w:tc>
          <w:tcPr>
            <w:tcW w:w="3408" w:type="dxa"/>
            <w:shd w:val="clear" w:color="auto" w:fill="auto"/>
          </w:tcPr>
          <w:p w14:paraId="0F246387" w14:textId="77777777" w:rsidR="002543A7" w:rsidRPr="000077D3" w:rsidRDefault="002543A7" w:rsidP="002543A7">
            <w:pPr>
              <w:rPr>
                <w:rFonts w:ascii="Verdana" w:hAnsi="Verdana"/>
              </w:rPr>
            </w:pPr>
            <w:r w:rsidRPr="000077D3">
              <w:rPr>
                <w:rFonts w:ascii="Verdana" w:hAnsi="Verdana"/>
              </w:rPr>
              <w:t>F: all lines of business</w:t>
            </w:r>
          </w:p>
          <w:p w14:paraId="1352B649" w14:textId="24D9EFB1" w:rsidR="00081CCE" w:rsidRPr="00AF03AD" w:rsidRDefault="00081CCE" w:rsidP="00081CCE">
            <w:pPr>
              <w:rPr>
                <w:rFonts w:ascii="Verdana" w:hAnsi="Verdana"/>
              </w:rPr>
            </w:pPr>
          </w:p>
        </w:tc>
        <w:tc>
          <w:tcPr>
            <w:tcW w:w="3664" w:type="dxa"/>
            <w:shd w:val="clear" w:color="auto" w:fill="auto"/>
          </w:tcPr>
          <w:p w14:paraId="23C57301" w14:textId="77777777" w:rsidR="00081CCE" w:rsidRPr="00AF03AD" w:rsidRDefault="00081CCE" w:rsidP="00081CCE">
            <w:pPr>
              <w:rPr>
                <w:rFonts w:ascii="Verdana" w:hAnsi="Verdana"/>
              </w:rPr>
            </w:pPr>
            <w:r w:rsidRPr="00AF03AD">
              <w:rPr>
                <w:rFonts w:ascii="Verdana" w:hAnsi="Verdana"/>
              </w:rPr>
              <w:t>No change</w:t>
            </w:r>
          </w:p>
          <w:p w14:paraId="6727CA4F" w14:textId="77777777" w:rsidR="00081CCE" w:rsidRPr="00AF03AD" w:rsidRDefault="00081CCE" w:rsidP="00081CCE">
            <w:pPr>
              <w:rPr>
                <w:rFonts w:ascii="Verdana" w:hAnsi="Verdana"/>
              </w:rPr>
            </w:pPr>
          </w:p>
        </w:tc>
      </w:tr>
      <w:tr w:rsidR="00081CCE" w:rsidRPr="00852F8C" w14:paraId="503A1F1B" w14:textId="77777777" w:rsidTr="001F115A">
        <w:tc>
          <w:tcPr>
            <w:tcW w:w="3845" w:type="dxa"/>
            <w:shd w:val="clear" w:color="auto" w:fill="auto"/>
          </w:tcPr>
          <w:p w14:paraId="3A5B6DB7" w14:textId="77777777" w:rsidR="002543A7" w:rsidRPr="000077D3" w:rsidRDefault="002543A7" w:rsidP="002543A7">
            <w:pPr>
              <w:pStyle w:val="Default"/>
              <w:rPr>
                <w:rFonts w:ascii="Verdana" w:hAnsi="Verdana"/>
                <w:b/>
                <w:bCs/>
                <w:sz w:val="22"/>
                <w:szCs w:val="22"/>
              </w:rPr>
            </w:pPr>
            <w:proofErr w:type="spellStart"/>
            <w:r w:rsidRPr="000077D3">
              <w:rPr>
                <w:rFonts w:ascii="Verdana" w:hAnsi="Verdana"/>
                <w:b/>
                <w:bCs/>
                <w:sz w:val="22"/>
                <w:szCs w:val="22"/>
              </w:rPr>
              <w:t>Cablivi</w:t>
            </w:r>
            <w:proofErr w:type="spellEnd"/>
            <w:r w:rsidRPr="000077D3">
              <w:rPr>
                <w:rFonts w:ascii="Verdana" w:hAnsi="Verdana"/>
                <w:b/>
                <w:bCs/>
                <w:sz w:val="22"/>
                <w:szCs w:val="22"/>
              </w:rPr>
              <w:t xml:space="preserve"> </w:t>
            </w:r>
            <w:r w:rsidRPr="000077D3">
              <w:rPr>
                <w:rFonts w:ascii="Verdana" w:hAnsi="Verdana"/>
                <w:sz w:val="22"/>
                <w:szCs w:val="22"/>
              </w:rPr>
              <w:t>(</w:t>
            </w:r>
            <w:proofErr w:type="spellStart"/>
            <w:r w:rsidRPr="000077D3">
              <w:rPr>
                <w:rFonts w:ascii="Verdana" w:hAnsi="Verdana"/>
                <w:sz w:val="22"/>
                <w:szCs w:val="22"/>
              </w:rPr>
              <w:t>caplacizumab</w:t>
            </w:r>
            <w:proofErr w:type="spellEnd"/>
            <w:r w:rsidRPr="000077D3">
              <w:rPr>
                <w:rFonts w:ascii="Verdana" w:hAnsi="Verdana"/>
                <w:sz w:val="22"/>
                <w:szCs w:val="22"/>
              </w:rPr>
              <w:t>) 11 mg IV vials for patients ≥ 12 years of age with acquired thrombotic thrombocytopenic purpura</w:t>
            </w:r>
          </w:p>
          <w:p w14:paraId="67CE7B4A" w14:textId="40158F20" w:rsidR="00081CCE" w:rsidRPr="0000785E" w:rsidRDefault="00081CCE" w:rsidP="00081CCE">
            <w:pPr>
              <w:pStyle w:val="Default"/>
              <w:rPr>
                <w:rFonts w:ascii="Verdana" w:hAnsi="Verdana" w:cstheme="minorBidi"/>
                <w:color w:val="auto"/>
                <w:sz w:val="22"/>
                <w:szCs w:val="22"/>
                <w14:ligatures w14:val="none"/>
              </w:rPr>
            </w:pPr>
          </w:p>
        </w:tc>
        <w:tc>
          <w:tcPr>
            <w:tcW w:w="3408" w:type="dxa"/>
            <w:shd w:val="clear" w:color="auto" w:fill="auto"/>
          </w:tcPr>
          <w:p w14:paraId="3AF6E68F" w14:textId="2DD93DC7" w:rsidR="002543A7" w:rsidRPr="000077D3" w:rsidRDefault="002543A7" w:rsidP="002543A7">
            <w:pPr>
              <w:rPr>
                <w:rFonts w:ascii="Verdana" w:hAnsi="Verdana"/>
              </w:rPr>
            </w:pPr>
            <w:r>
              <w:rPr>
                <w:rFonts w:ascii="Verdana" w:hAnsi="Verdana"/>
              </w:rPr>
              <w:t>F</w:t>
            </w:r>
            <w:r w:rsidRPr="000077D3">
              <w:rPr>
                <w:rFonts w:ascii="Verdana" w:hAnsi="Verdana"/>
              </w:rPr>
              <w:t>: all lines of business</w:t>
            </w:r>
          </w:p>
          <w:p w14:paraId="775CC2C9" w14:textId="1AB544B4" w:rsidR="00081CCE" w:rsidRPr="00AF03AD" w:rsidRDefault="00081CCE" w:rsidP="00081CCE">
            <w:pPr>
              <w:rPr>
                <w:rFonts w:ascii="Verdana" w:hAnsi="Verdana"/>
              </w:rPr>
            </w:pPr>
          </w:p>
        </w:tc>
        <w:tc>
          <w:tcPr>
            <w:tcW w:w="3664" w:type="dxa"/>
            <w:shd w:val="clear" w:color="auto" w:fill="auto"/>
          </w:tcPr>
          <w:p w14:paraId="3D9F28FF" w14:textId="77777777" w:rsidR="00081CCE" w:rsidRPr="00AF03AD" w:rsidRDefault="00081CCE" w:rsidP="00081CCE">
            <w:pPr>
              <w:rPr>
                <w:rFonts w:ascii="Verdana" w:hAnsi="Verdana"/>
              </w:rPr>
            </w:pPr>
            <w:r w:rsidRPr="00AF03AD">
              <w:rPr>
                <w:rFonts w:ascii="Verdana" w:hAnsi="Verdana"/>
              </w:rPr>
              <w:t>No change</w:t>
            </w:r>
          </w:p>
          <w:p w14:paraId="3CA9915B" w14:textId="77777777" w:rsidR="00081CCE" w:rsidRPr="00AF03AD" w:rsidRDefault="00081CCE" w:rsidP="00081CCE">
            <w:pPr>
              <w:rPr>
                <w:rFonts w:ascii="Verdana" w:hAnsi="Verdana"/>
              </w:rPr>
            </w:pPr>
          </w:p>
        </w:tc>
      </w:tr>
      <w:tr w:rsidR="00081CCE" w:rsidRPr="00852F8C" w14:paraId="2CADF6B0" w14:textId="77777777" w:rsidTr="001F115A">
        <w:tc>
          <w:tcPr>
            <w:tcW w:w="3845" w:type="dxa"/>
            <w:shd w:val="clear" w:color="auto" w:fill="auto"/>
          </w:tcPr>
          <w:p w14:paraId="334FAF8D"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Furoscix</w:t>
            </w:r>
            <w:proofErr w:type="spellEnd"/>
            <w:r w:rsidRPr="000077D3">
              <w:rPr>
                <w:rFonts w:ascii="Verdana" w:hAnsi="Verdana"/>
                <w:b/>
                <w:bCs/>
                <w:sz w:val="22"/>
                <w:szCs w:val="22"/>
              </w:rPr>
              <w:t xml:space="preserve"> </w:t>
            </w:r>
            <w:r w:rsidRPr="000077D3">
              <w:rPr>
                <w:rFonts w:ascii="Verdana" w:hAnsi="Verdana"/>
                <w:sz w:val="22"/>
                <w:szCs w:val="22"/>
              </w:rPr>
              <w:t>(furosemide) 80 mg/10 mL SQ cartridge kit for pediatric patients weighing ≥ 43 kg for treatment of edema associated with chronic heart failure or chronic kidney disease</w:t>
            </w:r>
          </w:p>
          <w:p w14:paraId="00C80469" w14:textId="37197D1D" w:rsidR="00081CCE" w:rsidRPr="0000785E" w:rsidRDefault="00081CCE" w:rsidP="00081CCE">
            <w:pPr>
              <w:pStyle w:val="Default"/>
              <w:rPr>
                <w:rFonts w:ascii="Verdana" w:hAnsi="Verdana" w:cstheme="minorBidi"/>
                <w:color w:val="auto"/>
                <w:sz w:val="22"/>
                <w:szCs w:val="22"/>
                <w14:ligatures w14:val="none"/>
              </w:rPr>
            </w:pPr>
          </w:p>
        </w:tc>
        <w:tc>
          <w:tcPr>
            <w:tcW w:w="3408" w:type="dxa"/>
            <w:shd w:val="clear" w:color="auto" w:fill="auto"/>
          </w:tcPr>
          <w:p w14:paraId="0180DA98" w14:textId="77777777" w:rsidR="002543A7" w:rsidRPr="00851125" w:rsidRDefault="002543A7" w:rsidP="002543A7">
            <w:pPr>
              <w:rPr>
                <w:rFonts w:ascii="Verdana" w:hAnsi="Verdana"/>
              </w:rPr>
            </w:pPr>
            <w:r w:rsidRPr="00851125">
              <w:rPr>
                <w:rFonts w:ascii="Verdana" w:hAnsi="Verdana"/>
              </w:rPr>
              <w:t>NF: all lines of business</w:t>
            </w:r>
          </w:p>
          <w:p w14:paraId="145DE978" w14:textId="77777777" w:rsidR="00081CCE" w:rsidRPr="00AF03AD" w:rsidRDefault="00081CCE" w:rsidP="00081CCE">
            <w:pPr>
              <w:rPr>
                <w:rFonts w:ascii="Verdana" w:hAnsi="Verdana"/>
              </w:rPr>
            </w:pPr>
          </w:p>
        </w:tc>
        <w:tc>
          <w:tcPr>
            <w:tcW w:w="3664" w:type="dxa"/>
            <w:shd w:val="clear" w:color="auto" w:fill="auto"/>
          </w:tcPr>
          <w:p w14:paraId="56910382" w14:textId="77777777" w:rsidR="00081CCE" w:rsidRPr="0030792C" w:rsidRDefault="00081CCE" w:rsidP="00081CCE">
            <w:pPr>
              <w:rPr>
                <w:rFonts w:ascii="Verdana" w:hAnsi="Verdana"/>
              </w:rPr>
            </w:pPr>
            <w:r w:rsidRPr="0030792C">
              <w:rPr>
                <w:rFonts w:ascii="Verdana" w:hAnsi="Verdana"/>
              </w:rPr>
              <w:t>No change</w:t>
            </w:r>
          </w:p>
          <w:p w14:paraId="71D25258" w14:textId="77777777" w:rsidR="00081CCE" w:rsidRPr="00AF03AD" w:rsidRDefault="00081CCE" w:rsidP="00081CCE">
            <w:pPr>
              <w:rPr>
                <w:rFonts w:ascii="Verdana" w:hAnsi="Verdana"/>
              </w:rPr>
            </w:pPr>
          </w:p>
        </w:tc>
      </w:tr>
      <w:tr w:rsidR="00081CCE" w:rsidRPr="00852F8C" w14:paraId="5C65AAA7" w14:textId="77777777" w:rsidTr="001F115A">
        <w:tc>
          <w:tcPr>
            <w:tcW w:w="3845" w:type="dxa"/>
            <w:shd w:val="clear" w:color="auto" w:fill="auto"/>
          </w:tcPr>
          <w:p w14:paraId="6A6801B9" w14:textId="77777777" w:rsidR="002543A7" w:rsidRPr="000077D3" w:rsidRDefault="002543A7" w:rsidP="002543A7">
            <w:pPr>
              <w:pStyle w:val="Default"/>
              <w:rPr>
                <w:rFonts w:ascii="Verdana" w:hAnsi="Verdana"/>
                <w:sz w:val="22"/>
                <w:szCs w:val="22"/>
              </w:rPr>
            </w:pPr>
            <w:r w:rsidRPr="000077D3">
              <w:rPr>
                <w:rFonts w:ascii="Verdana" w:hAnsi="Verdana"/>
                <w:b/>
                <w:bCs/>
                <w:sz w:val="22"/>
                <w:szCs w:val="22"/>
              </w:rPr>
              <w:t>Accrufer</w:t>
            </w:r>
            <w:r w:rsidRPr="000077D3">
              <w:rPr>
                <w:rFonts w:ascii="Verdana" w:hAnsi="Verdana"/>
                <w:sz w:val="22"/>
                <w:szCs w:val="22"/>
              </w:rPr>
              <w:t xml:space="preserve"> (ferric maltol) 30 mg capsules for iron deficiency in patients ≥ 10 years of age</w:t>
            </w:r>
          </w:p>
          <w:p w14:paraId="70995259" w14:textId="77777777" w:rsidR="00081CCE" w:rsidRPr="00851125" w:rsidRDefault="00081CCE" w:rsidP="00081CCE">
            <w:pPr>
              <w:pStyle w:val="Default"/>
              <w:rPr>
                <w:rFonts w:ascii="Verdana" w:hAnsi="Verdana"/>
                <w:b/>
                <w:bCs/>
                <w:sz w:val="22"/>
                <w:szCs w:val="22"/>
              </w:rPr>
            </w:pPr>
          </w:p>
        </w:tc>
        <w:tc>
          <w:tcPr>
            <w:tcW w:w="3408" w:type="dxa"/>
            <w:shd w:val="clear" w:color="auto" w:fill="auto"/>
          </w:tcPr>
          <w:p w14:paraId="44F9057C" w14:textId="4DA0AD0C" w:rsidR="00081CCE" w:rsidRPr="00851125" w:rsidRDefault="002543A7" w:rsidP="00081CCE">
            <w:pPr>
              <w:rPr>
                <w:rFonts w:ascii="Verdana" w:hAnsi="Verdana"/>
              </w:rPr>
            </w:pPr>
            <w:r w:rsidRPr="00851125">
              <w:rPr>
                <w:rFonts w:ascii="Verdana" w:hAnsi="Verdana"/>
              </w:rPr>
              <w:t>NF: all lines of business</w:t>
            </w:r>
          </w:p>
        </w:tc>
        <w:tc>
          <w:tcPr>
            <w:tcW w:w="3664" w:type="dxa"/>
            <w:shd w:val="clear" w:color="auto" w:fill="auto"/>
          </w:tcPr>
          <w:p w14:paraId="1E1D48DD" w14:textId="77777777" w:rsidR="00E031F4" w:rsidRPr="0030792C" w:rsidRDefault="00E031F4" w:rsidP="00E031F4">
            <w:pPr>
              <w:rPr>
                <w:rFonts w:ascii="Verdana" w:hAnsi="Verdana"/>
              </w:rPr>
            </w:pPr>
            <w:r w:rsidRPr="0030792C">
              <w:rPr>
                <w:rFonts w:ascii="Verdana" w:hAnsi="Verdana"/>
              </w:rPr>
              <w:t>No change</w:t>
            </w:r>
          </w:p>
          <w:p w14:paraId="20544848" w14:textId="77777777" w:rsidR="00081CCE" w:rsidRPr="0030792C" w:rsidRDefault="00081CCE" w:rsidP="00081CCE">
            <w:pPr>
              <w:rPr>
                <w:rFonts w:ascii="Verdana" w:hAnsi="Verdana"/>
              </w:rPr>
            </w:pPr>
          </w:p>
        </w:tc>
      </w:tr>
      <w:tr w:rsidR="00081CCE" w:rsidRPr="00852F8C" w14:paraId="6A740712" w14:textId="77777777" w:rsidTr="001F115A">
        <w:tc>
          <w:tcPr>
            <w:tcW w:w="3845" w:type="dxa"/>
            <w:shd w:val="clear" w:color="auto" w:fill="auto"/>
          </w:tcPr>
          <w:p w14:paraId="277F5427"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Mounjaro</w:t>
            </w:r>
            <w:proofErr w:type="spellEnd"/>
            <w:r w:rsidRPr="000077D3">
              <w:rPr>
                <w:rFonts w:ascii="Verdana" w:hAnsi="Verdana"/>
                <w:b/>
                <w:bCs/>
                <w:sz w:val="22"/>
                <w:szCs w:val="22"/>
              </w:rPr>
              <w:t xml:space="preserve"> </w:t>
            </w:r>
            <w:r w:rsidRPr="000077D3">
              <w:rPr>
                <w:rFonts w:ascii="Verdana" w:hAnsi="Verdana"/>
                <w:sz w:val="22"/>
                <w:szCs w:val="22"/>
              </w:rPr>
              <w:t>(</w:t>
            </w:r>
            <w:proofErr w:type="spellStart"/>
            <w:r w:rsidRPr="000077D3">
              <w:rPr>
                <w:rFonts w:ascii="Verdana" w:hAnsi="Verdana"/>
                <w:sz w:val="22"/>
                <w:szCs w:val="22"/>
              </w:rPr>
              <w:t>tirzepatide</w:t>
            </w:r>
            <w:proofErr w:type="spellEnd"/>
            <w:r w:rsidRPr="000077D3">
              <w:rPr>
                <w:rFonts w:ascii="Verdana" w:hAnsi="Verdana"/>
                <w:sz w:val="22"/>
                <w:szCs w:val="22"/>
              </w:rPr>
              <w:t>) pens &amp; vials for type 2 diabetes mellitus in patients ≥ 10 years of age</w:t>
            </w:r>
          </w:p>
          <w:p w14:paraId="68A96759" w14:textId="77777777" w:rsidR="00081CCE" w:rsidRPr="00851125" w:rsidRDefault="00081CCE" w:rsidP="00081CCE">
            <w:pPr>
              <w:pStyle w:val="Default"/>
              <w:rPr>
                <w:rFonts w:ascii="Verdana" w:hAnsi="Verdana"/>
                <w:b/>
                <w:bCs/>
                <w:sz w:val="22"/>
                <w:szCs w:val="22"/>
              </w:rPr>
            </w:pPr>
          </w:p>
        </w:tc>
        <w:tc>
          <w:tcPr>
            <w:tcW w:w="3408" w:type="dxa"/>
            <w:shd w:val="clear" w:color="auto" w:fill="auto"/>
          </w:tcPr>
          <w:p w14:paraId="2753D4F8" w14:textId="01A188E4" w:rsidR="002543A7" w:rsidRPr="000077D3" w:rsidRDefault="002543A7" w:rsidP="002543A7">
            <w:pPr>
              <w:rPr>
                <w:rFonts w:ascii="Verdana" w:hAnsi="Verdana"/>
              </w:rPr>
            </w:pPr>
            <w:r w:rsidRPr="000077D3">
              <w:rPr>
                <w:rFonts w:ascii="Verdana" w:hAnsi="Verdana"/>
                <w:lang w:val="pl-PL"/>
              </w:rPr>
              <w:t>F:</w:t>
            </w:r>
            <w:r>
              <w:rPr>
                <w:rFonts w:ascii="Verdana" w:hAnsi="Verdana"/>
                <w:lang w:val="pl-PL"/>
              </w:rPr>
              <w:t xml:space="preserve"> </w:t>
            </w:r>
            <w:r w:rsidRPr="000077D3">
              <w:rPr>
                <w:rFonts w:ascii="Verdana" w:hAnsi="Verdana"/>
                <w:lang w:val="pl-PL"/>
              </w:rPr>
              <w:t>IFP</w:t>
            </w:r>
          </w:p>
          <w:p w14:paraId="561DE757" w14:textId="77777777" w:rsidR="002543A7" w:rsidRPr="000077D3" w:rsidRDefault="002543A7" w:rsidP="002543A7">
            <w:pPr>
              <w:rPr>
                <w:rFonts w:ascii="Verdana" w:hAnsi="Verdana"/>
              </w:rPr>
            </w:pPr>
            <w:r w:rsidRPr="000077D3">
              <w:rPr>
                <w:rFonts w:ascii="Verdana" w:hAnsi="Verdana"/>
                <w:lang w:val="pl-PL"/>
              </w:rPr>
              <w:t>NP: MA</w:t>
            </w:r>
          </w:p>
          <w:p w14:paraId="45EEB206" w14:textId="67E1A590" w:rsidR="00081CCE" w:rsidRPr="00851125" w:rsidRDefault="00081CCE" w:rsidP="00E031F4">
            <w:pPr>
              <w:rPr>
                <w:rFonts w:ascii="Verdana" w:hAnsi="Verdana"/>
              </w:rPr>
            </w:pPr>
          </w:p>
        </w:tc>
        <w:tc>
          <w:tcPr>
            <w:tcW w:w="3664" w:type="dxa"/>
            <w:shd w:val="clear" w:color="auto" w:fill="auto"/>
          </w:tcPr>
          <w:p w14:paraId="4EB1CACB" w14:textId="77777777" w:rsidR="00081CCE" w:rsidRPr="0030792C" w:rsidRDefault="00081CCE" w:rsidP="00081CCE">
            <w:pPr>
              <w:rPr>
                <w:rFonts w:ascii="Verdana" w:hAnsi="Verdana"/>
              </w:rPr>
            </w:pPr>
            <w:r w:rsidRPr="0030792C">
              <w:rPr>
                <w:rFonts w:ascii="Verdana" w:hAnsi="Verdana"/>
              </w:rPr>
              <w:t>No change</w:t>
            </w:r>
          </w:p>
          <w:p w14:paraId="71307136" w14:textId="77777777" w:rsidR="00081CCE" w:rsidRPr="0030792C" w:rsidRDefault="00081CCE" w:rsidP="00081CCE">
            <w:pPr>
              <w:rPr>
                <w:rFonts w:ascii="Verdana" w:hAnsi="Verdana"/>
              </w:rPr>
            </w:pPr>
          </w:p>
        </w:tc>
      </w:tr>
      <w:tr w:rsidR="00081CCE" w:rsidRPr="00852F8C" w14:paraId="7FEA7D66" w14:textId="77777777" w:rsidTr="001F115A">
        <w:tc>
          <w:tcPr>
            <w:tcW w:w="3845" w:type="dxa"/>
            <w:shd w:val="clear" w:color="auto" w:fill="auto"/>
          </w:tcPr>
          <w:p w14:paraId="72DE7E08"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Uplizna</w:t>
            </w:r>
            <w:proofErr w:type="spellEnd"/>
            <w:r w:rsidRPr="000077D3">
              <w:rPr>
                <w:rFonts w:ascii="Verdana" w:hAnsi="Verdana"/>
                <w:b/>
                <w:bCs/>
                <w:sz w:val="22"/>
                <w:szCs w:val="22"/>
              </w:rPr>
              <w:t xml:space="preserve"> </w:t>
            </w:r>
            <w:r w:rsidRPr="000077D3">
              <w:rPr>
                <w:rFonts w:ascii="Verdana" w:hAnsi="Verdana"/>
                <w:sz w:val="22"/>
                <w:szCs w:val="22"/>
              </w:rPr>
              <w:t>(</w:t>
            </w:r>
            <w:proofErr w:type="spellStart"/>
            <w:r w:rsidRPr="000077D3">
              <w:rPr>
                <w:rFonts w:ascii="Verdana" w:hAnsi="Verdana"/>
                <w:sz w:val="22"/>
                <w:szCs w:val="22"/>
              </w:rPr>
              <w:t>inebilizumab</w:t>
            </w:r>
            <w:proofErr w:type="spellEnd"/>
            <w:r w:rsidRPr="000077D3">
              <w:rPr>
                <w:rFonts w:ascii="Verdana" w:hAnsi="Verdana"/>
                <w:sz w:val="22"/>
                <w:szCs w:val="22"/>
              </w:rPr>
              <w:t>) 10 mg/mL IV vials for generalized myasthenia gravis</w:t>
            </w:r>
          </w:p>
          <w:p w14:paraId="36618D72" w14:textId="77777777" w:rsidR="00081CCE" w:rsidRPr="00851125" w:rsidRDefault="00081CCE" w:rsidP="00081CCE">
            <w:pPr>
              <w:pStyle w:val="Default"/>
              <w:rPr>
                <w:rFonts w:ascii="Verdana" w:hAnsi="Verdana"/>
                <w:b/>
                <w:bCs/>
                <w:sz w:val="22"/>
                <w:szCs w:val="22"/>
              </w:rPr>
            </w:pPr>
          </w:p>
        </w:tc>
        <w:tc>
          <w:tcPr>
            <w:tcW w:w="3408" w:type="dxa"/>
            <w:shd w:val="clear" w:color="auto" w:fill="auto"/>
          </w:tcPr>
          <w:p w14:paraId="3D2960C6" w14:textId="50A448BF" w:rsidR="002543A7" w:rsidRPr="000077D3" w:rsidRDefault="002543A7" w:rsidP="002543A7">
            <w:pPr>
              <w:rPr>
                <w:rFonts w:ascii="Verdana" w:hAnsi="Verdana"/>
              </w:rPr>
            </w:pPr>
            <w:r w:rsidRPr="000077D3">
              <w:rPr>
                <w:rFonts w:ascii="Verdana" w:hAnsi="Verdana"/>
              </w:rPr>
              <w:t>NF:</w:t>
            </w:r>
            <w:r>
              <w:rPr>
                <w:rFonts w:ascii="Verdana" w:hAnsi="Verdana"/>
              </w:rPr>
              <w:t xml:space="preserve"> </w:t>
            </w:r>
            <w:r w:rsidRPr="000077D3">
              <w:rPr>
                <w:rFonts w:ascii="Verdana" w:hAnsi="Verdana"/>
              </w:rPr>
              <w:t>IFP</w:t>
            </w:r>
          </w:p>
          <w:p w14:paraId="77726744" w14:textId="77777777" w:rsidR="002543A7" w:rsidRPr="000077D3" w:rsidRDefault="002543A7" w:rsidP="002543A7">
            <w:pPr>
              <w:rPr>
                <w:rFonts w:ascii="Verdana" w:hAnsi="Verdana"/>
              </w:rPr>
            </w:pPr>
            <w:r w:rsidRPr="000077D3">
              <w:rPr>
                <w:rFonts w:ascii="Verdana" w:hAnsi="Verdana"/>
              </w:rPr>
              <w:t>NP: MA</w:t>
            </w:r>
          </w:p>
          <w:p w14:paraId="577C1778" w14:textId="77777777" w:rsidR="00081CCE" w:rsidRPr="00851125" w:rsidRDefault="00081CCE" w:rsidP="00081CCE">
            <w:pPr>
              <w:rPr>
                <w:rFonts w:ascii="Verdana" w:hAnsi="Verdana"/>
              </w:rPr>
            </w:pPr>
          </w:p>
        </w:tc>
        <w:tc>
          <w:tcPr>
            <w:tcW w:w="3664" w:type="dxa"/>
            <w:shd w:val="clear" w:color="auto" w:fill="auto"/>
          </w:tcPr>
          <w:p w14:paraId="15BDA950" w14:textId="77777777" w:rsidR="00081CCE" w:rsidRPr="0030792C" w:rsidRDefault="00081CCE" w:rsidP="00081CCE">
            <w:pPr>
              <w:rPr>
                <w:rFonts w:ascii="Verdana" w:hAnsi="Verdana"/>
              </w:rPr>
            </w:pPr>
            <w:r w:rsidRPr="0030792C">
              <w:rPr>
                <w:rFonts w:ascii="Verdana" w:hAnsi="Verdana"/>
              </w:rPr>
              <w:t>No change</w:t>
            </w:r>
          </w:p>
          <w:p w14:paraId="4E9D3441" w14:textId="77777777" w:rsidR="00081CCE" w:rsidRPr="0030792C" w:rsidRDefault="00081CCE" w:rsidP="00081CCE">
            <w:pPr>
              <w:rPr>
                <w:rFonts w:ascii="Verdana" w:hAnsi="Verdana"/>
              </w:rPr>
            </w:pPr>
          </w:p>
        </w:tc>
      </w:tr>
      <w:tr w:rsidR="00081CCE" w:rsidRPr="00852F8C" w14:paraId="06D6900A" w14:textId="77777777" w:rsidTr="001F115A">
        <w:tc>
          <w:tcPr>
            <w:tcW w:w="3845" w:type="dxa"/>
            <w:shd w:val="clear" w:color="auto" w:fill="auto"/>
          </w:tcPr>
          <w:p w14:paraId="75746664" w14:textId="77777777" w:rsidR="002543A7" w:rsidRPr="000077D3" w:rsidRDefault="002543A7" w:rsidP="002543A7">
            <w:pPr>
              <w:pStyle w:val="Default"/>
              <w:rPr>
                <w:rFonts w:ascii="Verdana" w:hAnsi="Verdana"/>
                <w:sz w:val="22"/>
                <w:szCs w:val="22"/>
              </w:rPr>
            </w:pPr>
            <w:proofErr w:type="spellStart"/>
            <w:r w:rsidRPr="000077D3">
              <w:rPr>
                <w:rFonts w:ascii="Verdana" w:hAnsi="Verdana"/>
                <w:b/>
                <w:bCs/>
                <w:sz w:val="22"/>
                <w:szCs w:val="22"/>
              </w:rPr>
              <w:t>Enhertu</w:t>
            </w:r>
            <w:proofErr w:type="spellEnd"/>
            <w:r w:rsidRPr="000077D3">
              <w:rPr>
                <w:rFonts w:ascii="Verdana" w:hAnsi="Verdana"/>
                <w:b/>
                <w:bCs/>
                <w:sz w:val="22"/>
                <w:szCs w:val="22"/>
              </w:rPr>
              <w:t xml:space="preserve"> </w:t>
            </w:r>
            <w:r w:rsidRPr="000077D3">
              <w:rPr>
                <w:rFonts w:ascii="Verdana" w:hAnsi="Verdana"/>
                <w:sz w:val="22"/>
                <w:szCs w:val="22"/>
              </w:rPr>
              <w:t>(fam-trastuzumab) in combination with Perjeta (</w:t>
            </w:r>
            <w:proofErr w:type="spellStart"/>
            <w:r w:rsidRPr="000077D3">
              <w:rPr>
                <w:rFonts w:ascii="Verdana" w:hAnsi="Verdana"/>
                <w:sz w:val="22"/>
                <w:szCs w:val="22"/>
              </w:rPr>
              <w:t>pertuzumab</w:t>
            </w:r>
            <w:proofErr w:type="spellEnd"/>
            <w:r w:rsidRPr="000077D3">
              <w:rPr>
                <w:rFonts w:ascii="Verdana" w:hAnsi="Verdana"/>
                <w:sz w:val="22"/>
                <w:szCs w:val="22"/>
              </w:rPr>
              <w:t>) as first-line treatment for unresectable or metastatic HER2-positive breast cancer</w:t>
            </w:r>
          </w:p>
          <w:p w14:paraId="5F8996CA" w14:textId="77777777" w:rsidR="00081CCE" w:rsidRPr="00851125" w:rsidRDefault="00081CCE" w:rsidP="00081CCE">
            <w:pPr>
              <w:pStyle w:val="Default"/>
              <w:rPr>
                <w:rFonts w:ascii="Verdana" w:hAnsi="Verdana"/>
                <w:b/>
                <w:bCs/>
                <w:sz w:val="22"/>
                <w:szCs w:val="22"/>
              </w:rPr>
            </w:pPr>
          </w:p>
        </w:tc>
        <w:tc>
          <w:tcPr>
            <w:tcW w:w="3408" w:type="dxa"/>
            <w:shd w:val="clear" w:color="auto" w:fill="auto"/>
          </w:tcPr>
          <w:p w14:paraId="6440AE40" w14:textId="47B73C03" w:rsidR="002543A7" w:rsidRPr="00851125" w:rsidRDefault="002543A7" w:rsidP="002543A7">
            <w:pPr>
              <w:rPr>
                <w:rFonts w:ascii="Verdana" w:hAnsi="Verdana"/>
              </w:rPr>
            </w:pPr>
            <w:r w:rsidRPr="00851125">
              <w:rPr>
                <w:rFonts w:ascii="Verdana" w:hAnsi="Verdana"/>
              </w:rPr>
              <w:t>NF: IFP</w:t>
            </w:r>
          </w:p>
          <w:p w14:paraId="2069ABBD" w14:textId="77777777" w:rsidR="002543A7" w:rsidRPr="00851125" w:rsidRDefault="002543A7" w:rsidP="002543A7">
            <w:pPr>
              <w:rPr>
                <w:rFonts w:ascii="Verdana" w:hAnsi="Verdana"/>
              </w:rPr>
            </w:pPr>
            <w:r w:rsidRPr="00851125">
              <w:rPr>
                <w:rFonts w:ascii="Verdana" w:hAnsi="Verdana"/>
              </w:rPr>
              <w:t>NP: MA</w:t>
            </w:r>
          </w:p>
          <w:p w14:paraId="3C6ABC78" w14:textId="77777777" w:rsidR="00081CCE" w:rsidRPr="00851125" w:rsidRDefault="00081CCE" w:rsidP="00081CCE">
            <w:pPr>
              <w:rPr>
                <w:rFonts w:ascii="Verdana" w:hAnsi="Verdana"/>
              </w:rPr>
            </w:pPr>
          </w:p>
        </w:tc>
        <w:tc>
          <w:tcPr>
            <w:tcW w:w="3664" w:type="dxa"/>
            <w:shd w:val="clear" w:color="auto" w:fill="auto"/>
          </w:tcPr>
          <w:p w14:paraId="28151431" w14:textId="77777777" w:rsidR="00081CCE" w:rsidRPr="0030792C" w:rsidRDefault="00081CCE" w:rsidP="00081CCE">
            <w:pPr>
              <w:rPr>
                <w:rFonts w:ascii="Verdana" w:hAnsi="Verdana"/>
              </w:rPr>
            </w:pPr>
            <w:r w:rsidRPr="0030792C">
              <w:rPr>
                <w:rFonts w:ascii="Verdana" w:hAnsi="Verdana"/>
              </w:rPr>
              <w:t>No change</w:t>
            </w:r>
          </w:p>
          <w:p w14:paraId="65CD0F73" w14:textId="77777777" w:rsidR="00081CCE" w:rsidRPr="0030792C" w:rsidRDefault="00081CCE" w:rsidP="00081CCE">
            <w:pPr>
              <w:rPr>
                <w:rFonts w:ascii="Verdana" w:hAnsi="Verdana"/>
              </w:rPr>
            </w:pPr>
          </w:p>
        </w:tc>
      </w:tr>
      <w:tr w:rsidR="00E031F4" w:rsidRPr="00852F8C" w14:paraId="0A77F9DE" w14:textId="77777777" w:rsidTr="001F115A">
        <w:tc>
          <w:tcPr>
            <w:tcW w:w="3845" w:type="dxa"/>
            <w:shd w:val="clear" w:color="auto" w:fill="auto"/>
          </w:tcPr>
          <w:p w14:paraId="40356E21" w14:textId="77777777" w:rsidR="002543A7" w:rsidRPr="00DF6D9F" w:rsidRDefault="002543A7" w:rsidP="002543A7">
            <w:pPr>
              <w:pStyle w:val="Default"/>
              <w:rPr>
                <w:rFonts w:ascii="Verdana" w:hAnsi="Verdana"/>
                <w:sz w:val="22"/>
                <w:szCs w:val="22"/>
              </w:rPr>
            </w:pPr>
            <w:r w:rsidRPr="00DF6D9F">
              <w:rPr>
                <w:rFonts w:ascii="Verdana" w:hAnsi="Verdana"/>
                <w:b/>
                <w:bCs/>
                <w:sz w:val="22"/>
                <w:szCs w:val="22"/>
              </w:rPr>
              <w:t>Nexplanon</w:t>
            </w:r>
            <w:r w:rsidRPr="00DF6D9F">
              <w:rPr>
                <w:rFonts w:ascii="Verdana" w:hAnsi="Verdana"/>
                <w:sz w:val="22"/>
                <w:szCs w:val="22"/>
              </w:rPr>
              <w:t xml:space="preserve"> (etonogestrel) 68 mg implant for prevention of pregnancy for up to 5 years</w:t>
            </w:r>
          </w:p>
          <w:p w14:paraId="4F192336" w14:textId="77777777" w:rsidR="00E031F4" w:rsidRPr="00851125" w:rsidRDefault="00E031F4" w:rsidP="00E031F4">
            <w:pPr>
              <w:pStyle w:val="Default"/>
              <w:rPr>
                <w:rFonts w:ascii="Verdana" w:hAnsi="Verdana"/>
                <w:b/>
                <w:bCs/>
                <w:sz w:val="22"/>
                <w:szCs w:val="22"/>
              </w:rPr>
            </w:pPr>
          </w:p>
        </w:tc>
        <w:tc>
          <w:tcPr>
            <w:tcW w:w="3408" w:type="dxa"/>
            <w:shd w:val="clear" w:color="auto" w:fill="auto"/>
          </w:tcPr>
          <w:p w14:paraId="16D2F2E4" w14:textId="77777777" w:rsidR="002543A7" w:rsidRPr="00DF6D9F" w:rsidRDefault="002543A7" w:rsidP="002543A7">
            <w:pPr>
              <w:rPr>
                <w:rFonts w:ascii="Verdana" w:hAnsi="Verdana"/>
              </w:rPr>
            </w:pPr>
            <w:r w:rsidRPr="00DF6D9F">
              <w:rPr>
                <w:rFonts w:ascii="Verdana" w:hAnsi="Verdana"/>
              </w:rPr>
              <w:t>F: all lines of business</w:t>
            </w:r>
          </w:p>
          <w:p w14:paraId="1268ADDB" w14:textId="77777777" w:rsidR="00E031F4" w:rsidRPr="00851125" w:rsidRDefault="00E031F4" w:rsidP="00E031F4">
            <w:pPr>
              <w:rPr>
                <w:rFonts w:ascii="Verdana" w:hAnsi="Verdana"/>
              </w:rPr>
            </w:pPr>
          </w:p>
        </w:tc>
        <w:tc>
          <w:tcPr>
            <w:tcW w:w="3664" w:type="dxa"/>
            <w:shd w:val="clear" w:color="auto" w:fill="auto"/>
          </w:tcPr>
          <w:p w14:paraId="4BB46322" w14:textId="77777777" w:rsidR="00E031F4" w:rsidRPr="0030792C" w:rsidRDefault="00E031F4" w:rsidP="00E031F4">
            <w:pPr>
              <w:rPr>
                <w:rFonts w:ascii="Verdana" w:hAnsi="Verdana"/>
              </w:rPr>
            </w:pPr>
            <w:r w:rsidRPr="0030792C">
              <w:rPr>
                <w:rFonts w:ascii="Verdana" w:hAnsi="Verdana"/>
              </w:rPr>
              <w:t>No change</w:t>
            </w:r>
          </w:p>
          <w:p w14:paraId="54E258DD" w14:textId="77777777" w:rsidR="00E031F4" w:rsidRPr="0030792C" w:rsidRDefault="00E031F4" w:rsidP="00E031F4">
            <w:pPr>
              <w:rPr>
                <w:rFonts w:ascii="Verdana" w:hAnsi="Verdana"/>
              </w:rPr>
            </w:pPr>
          </w:p>
        </w:tc>
      </w:tr>
      <w:tr w:rsidR="00E031F4" w:rsidRPr="00852F8C" w14:paraId="28754A54" w14:textId="77777777" w:rsidTr="001F115A">
        <w:tc>
          <w:tcPr>
            <w:tcW w:w="3845" w:type="dxa"/>
            <w:shd w:val="clear" w:color="auto" w:fill="auto"/>
          </w:tcPr>
          <w:p w14:paraId="0625FDF8" w14:textId="77777777" w:rsidR="002543A7" w:rsidRPr="00DF6D9F" w:rsidRDefault="002543A7" w:rsidP="002543A7">
            <w:pPr>
              <w:pStyle w:val="Default"/>
              <w:rPr>
                <w:rFonts w:ascii="Verdana" w:hAnsi="Verdana"/>
                <w:sz w:val="22"/>
                <w:szCs w:val="22"/>
              </w:rPr>
            </w:pPr>
            <w:proofErr w:type="spellStart"/>
            <w:r w:rsidRPr="00DF6D9F">
              <w:rPr>
                <w:rFonts w:ascii="Verdana" w:hAnsi="Verdana"/>
                <w:sz w:val="22"/>
                <w:szCs w:val="22"/>
              </w:rPr>
              <w:t>Noxafil</w:t>
            </w:r>
            <w:proofErr w:type="spellEnd"/>
            <w:r w:rsidRPr="00DF6D9F">
              <w:rPr>
                <w:rFonts w:ascii="Verdana" w:hAnsi="Verdana"/>
                <w:sz w:val="22"/>
                <w:szCs w:val="22"/>
              </w:rPr>
              <w:t xml:space="preserve"> (</w:t>
            </w:r>
            <w:r w:rsidRPr="00DF6D9F">
              <w:rPr>
                <w:rFonts w:ascii="Verdana" w:hAnsi="Verdana"/>
                <w:b/>
                <w:bCs/>
                <w:sz w:val="22"/>
                <w:szCs w:val="22"/>
              </w:rPr>
              <w:t>posaconazole</w:t>
            </w:r>
            <w:r w:rsidRPr="00DF6D9F">
              <w:rPr>
                <w:rFonts w:ascii="Verdana" w:hAnsi="Verdana"/>
                <w:sz w:val="22"/>
                <w:szCs w:val="22"/>
              </w:rPr>
              <w:t xml:space="preserve">) 100 mg delayed-release tablets, 40 mg/mL oral suspension, &amp; 300 </w:t>
            </w:r>
            <w:r w:rsidRPr="00DF6D9F">
              <w:rPr>
                <w:rFonts w:ascii="Verdana" w:hAnsi="Verdana"/>
                <w:sz w:val="22"/>
                <w:szCs w:val="22"/>
              </w:rPr>
              <w:lastRenderedPageBreak/>
              <w:t>mg powder for oral suspension for invasive aspergillosis in patients = 2 years of age</w:t>
            </w:r>
          </w:p>
          <w:p w14:paraId="1B44A426" w14:textId="77777777" w:rsidR="00E031F4" w:rsidRPr="00851125" w:rsidRDefault="00E031F4" w:rsidP="00E031F4">
            <w:pPr>
              <w:pStyle w:val="Default"/>
              <w:rPr>
                <w:rFonts w:ascii="Verdana" w:hAnsi="Verdana"/>
                <w:b/>
                <w:bCs/>
                <w:sz w:val="22"/>
                <w:szCs w:val="22"/>
              </w:rPr>
            </w:pPr>
          </w:p>
        </w:tc>
        <w:tc>
          <w:tcPr>
            <w:tcW w:w="3408" w:type="dxa"/>
            <w:shd w:val="clear" w:color="auto" w:fill="auto"/>
          </w:tcPr>
          <w:p w14:paraId="1A0EEBEA" w14:textId="7D71609D" w:rsidR="002543A7" w:rsidRPr="00DF6D9F" w:rsidRDefault="002543A7" w:rsidP="002543A7">
            <w:pPr>
              <w:rPr>
                <w:rFonts w:ascii="Verdana" w:hAnsi="Verdana"/>
              </w:rPr>
            </w:pPr>
            <w:r w:rsidRPr="00DF6D9F">
              <w:rPr>
                <w:rFonts w:ascii="Verdana" w:hAnsi="Verdana"/>
              </w:rPr>
              <w:lastRenderedPageBreak/>
              <w:t>F: IFP (tabs only)</w:t>
            </w:r>
          </w:p>
          <w:p w14:paraId="497D41AE" w14:textId="77777777" w:rsidR="002543A7" w:rsidRPr="00DF6D9F" w:rsidRDefault="002543A7" w:rsidP="002543A7">
            <w:pPr>
              <w:rPr>
                <w:rFonts w:ascii="Verdana" w:hAnsi="Verdana"/>
              </w:rPr>
            </w:pPr>
            <w:r w:rsidRPr="00DF6D9F">
              <w:rPr>
                <w:rFonts w:ascii="Verdana" w:hAnsi="Verdana"/>
              </w:rPr>
              <w:t>NP: MA</w:t>
            </w:r>
          </w:p>
          <w:p w14:paraId="3359FAB5" w14:textId="77777777" w:rsidR="00E031F4" w:rsidRPr="00851125" w:rsidRDefault="00E031F4" w:rsidP="00E031F4">
            <w:pPr>
              <w:rPr>
                <w:rFonts w:ascii="Verdana" w:hAnsi="Verdana"/>
              </w:rPr>
            </w:pPr>
          </w:p>
        </w:tc>
        <w:tc>
          <w:tcPr>
            <w:tcW w:w="3664" w:type="dxa"/>
            <w:shd w:val="clear" w:color="auto" w:fill="auto"/>
          </w:tcPr>
          <w:p w14:paraId="624BE631" w14:textId="77777777" w:rsidR="00E031F4" w:rsidRPr="0030792C" w:rsidRDefault="00E031F4" w:rsidP="00E031F4">
            <w:pPr>
              <w:rPr>
                <w:rFonts w:ascii="Verdana" w:hAnsi="Verdana"/>
              </w:rPr>
            </w:pPr>
            <w:r w:rsidRPr="0030792C">
              <w:rPr>
                <w:rFonts w:ascii="Verdana" w:hAnsi="Verdana"/>
              </w:rPr>
              <w:t>No change</w:t>
            </w:r>
          </w:p>
          <w:p w14:paraId="1DF3AE60" w14:textId="77777777" w:rsidR="00E031F4" w:rsidRPr="0030792C" w:rsidRDefault="00E031F4" w:rsidP="00E031F4">
            <w:pPr>
              <w:rPr>
                <w:rFonts w:ascii="Verdana" w:hAnsi="Verdana"/>
              </w:rPr>
            </w:pPr>
          </w:p>
        </w:tc>
      </w:tr>
      <w:tr w:rsidR="00E031F4" w:rsidRPr="00852F8C" w14:paraId="63006A79" w14:textId="77777777" w:rsidTr="001F115A">
        <w:tc>
          <w:tcPr>
            <w:tcW w:w="3845" w:type="dxa"/>
            <w:shd w:val="clear" w:color="auto" w:fill="auto"/>
          </w:tcPr>
          <w:p w14:paraId="36EFEDF9" w14:textId="77777777" w:rsidR="002543A7" w:rsidRPr="00D92149" w:rsidRDefault="002543A7" w:rsidP="002543A7">
            <w:pPr>
              <w:pStyle w:val="Default"/>
              <w:rPr>
                <w:rFonts w:ascii="Verdana" w:hAnsi="Verdana"/>
                <w:sz w:val="22"/>
                <w:szCs w:val="22"/>
              </w:rPr>
            </w:pPr>
            <w:proofErr w:type="spellStart"/>
            <w:r w:rsidRPr="00D92149">
              <w:rPr>
                <w:rFonts w:ascii="Verdana" w:hAnsi="Verdana"/>
                <w:b/>
                <w:bCs/>
                <w:sz w:val="22"/>
                <w:szCs w:val="22"/>
              </w:rPr>
              <w:t>Opdivo</w:t>
            </w:r>
            <w:proofErr w:type="spellEnd"/>
            <w:r w:rsidRPr="00D92149">
              <w:rPr>
                <w:rFonts w:ascii="Verdana" w:hAnsi="Verdana"/>
                <w:b/>
                <w:bCs/>
                <w:sz w:val="22"/>
                <w:szCs w:val="22"/>
              </w:rPr>
              <w:t xml:space="preserve"> </w:t>
            </w:r>
            <w:proofErr w:type="spellStart"/>
            <w:r w:rsidRPr="00D92149">
              <w:rPr>
                <w:rFonts w:ascii="Verdana" w:hAnsi="Verdana"/>
                <w:b/>
                <w:bCs/>
                <w:sz w:val="22"/>
                <w:szCs w:val="22"/>
              </w:rPr>
              <w:t>Qvantig</w:t>
            </w:r>
            <w:proofErr w:type="spellEnd"/>
            <w:r w:rsidRPr="00D92149">
              <w:rPr>
                <w:rFonts w:ascii="Verdana" w:hAnsi="Verdana"/>
                <w:b/>
                <w:bCs/>
                <w:sz w:val="22"/>
                <w:szCs w:val="22"/>
              </w:rPr>
              <w:t xml:space="preserve"> </w:t>
            </w:r>
            <w:r w:rsidRPr="00D92149">
              <w:rPr>
                <w:rFonts w:ascii="Verdana" w:hAnsi="Verdana"/>
                <w:sz w:val="22"/>
                <w:szCs w:val="22"/>
              </w:rPr>
              <w:t>(nivolumab-hyaluronidase) 120 mg-2,000 units/mL SQ vials new indications &amp; age expansion: monotherapy for CRC and HCC following nivolumab and ipilimumab AND approved in patients aged = 12 years for CRC indications</w:t>
            </w:r>
          </w:p>
          <w:p w14:paraId="0FBDB206" w14:textId="77777777" w:rsidR="00E031F4" w:rsidRPr="00851125" w:rsidRDefault="00E031F4" w:rsidP="00E031F4">
            <w:pPr>
              <w:pStyle w:val="Default"/>
              <w:rPr>
                <w:rFonts w:ascii="Verdana" w:hAnsi="Verdana"/>
                <w:b/>
                <w:bCs/>
                <w:sz w:val="22"/>
                <w:szCs w:val="22"/>
              </w:rPr>
            </w:pPr>
          </w:p>
        </w:tc>
        <w:tc>
          <w:tcPr>
            <w:tcW w:w="3408" w:type="dxa"/>
            <w:shd w:val="clear" w:color="auto" w:fill="auto"/>
          </w:tcPr>
          <w:p w14:paraId="19A6B586" w14:textId="77777777" w:rsidR="002543A7" w:rsidRPr="00D92149" w:rsidRDefault="002543A7" w:rsidP="002543A7">
            <w:pPr>
              <w:rPr>
                <w:rFonts w:ascii="Verdana" w:hAnsi="Verdana"/>
              </w:rPr>
            </w:pPr>
            <w:r w:rsidRPr="00D92149">
              <w:rPr>
                <w:rFonts w:ascii="Verdana" w:hAnsi="Verdana"/>
              </w:rPr>
              <w:t>NF: all lines of business</w:t>
            </w:r>
          </w:p>
          <w:p w14:paraId="7B635928" w14:textId="77777777" w:rsidR="00E031F4" w:rsidRPr="00851125" w:rsidRDefault="00E031F4" w:rsidP="00E031F4">
            <w:pPr>
              <w:rPr>
                <w:rFonts w:ascii="Verdana" w:hAnsi="Verdana"/>
              </w:rPr>
            </w:pPr>
          </w:p>
        </w:tc>
        <w:tc>
          <w:tcPr>
            <w:tcW w:w="3664" w:type="dxa"/>
            <w:shd w:val="clear" w:color="auto" w:fill="auto"/>
          </w:tcPr>
          <w:p w14:paraId="14CAD3A6" w14:textId="77777777" w:rsidR="00E031F4" w:rsidRPr="0030792C" w:rsidRDefault="00E031F4" w:rsidP="00E031F4">
            <w:pPr>
              <w:rPr>
                <w:rFonts w:ascii="Verdana" w:hAnsi="Verdana"/>
              </w:rPr>
            </w:pPr>
            <w:r w:rsidRPr="0030792C">
              <w:rPr>
                <w:rFonts w:ascii="Verdana" w:hAnsi="Verdana"/>
              </w:rPr>
              <w:t>No change</w:t>
            </w:r>
          </w:p>
          <w:p w14:paraId="2D605097" w14:textId="77777777" w:rsidR="00E031F4" w:rsidRPr="0030792C" w:rsidRDefault="00E031F4" w:rsidP="00E031F4">
            <w:pPr>
              <w:rPr>
                <w:rFonts w:ascii="Verdana" w:hAnsi="Verdana"/>
              </w:rPr>
            </w:pPr>
          </w:p>
        </w:tc>
      </w:tr>
      <w:tr w:rsidR="00E031F4" w:rsidRPr="00852F8C" w14:paraId="347E038B" w14:textId="77777777" w:rsidTr="001F115A">
        <w:tc>
          <w:tcPr>
            <w:tcW w:w="3845" w:type="dxa"/>
            <w:shd w:val="clear" w:color="auto" w:fill="auto"/>
          </w:tcPr>
          <w:p w14:paraId="1E84131A" w14:textId="77777777" w:rsidR="002543A7" w:rsidRPr="00D92149" w:rsidRDefault="002543A7" w:rsidP="002543A7">
            <w:pPr>
              <w:pStyle w:val="Default"/>
              <w:rPr>
                <w:rFonts w:ascii="Verdana" w:hAnsi="Verdana"/>
                <w:sz w:val="22"/>
                <w:szCs w:val="22"/>
              </w:rPr>
            </w:pPr>
            <w:r w:rsidRPr="00D92149">
              <w:rPr>
                <w:rFonts w:ascii="Verdana" w:hAnsi="Verdana"/>
                <w:b/>
                <w:bCs/>
                <w:sz w:val="22"/>
                <w:szCs w:val="22"/>
              </w:rPr>
              <w:t>Cerezyme</w:t>
            </w:r>
            <w:r w:rsidRPr="00D92149">
              <w:rPr>
                <w:rFonts w:ascii="Verdana" w:hAnsi="Verdana"/>
                <w:sz w:val="22"/>
                <w:szCs w:val="22"/>
              </w:rPr>
              <w:t xml:space="preserve"> (</w:t>
            </w:r>
            <w:proofErr w:type="spellStart"/>
            <w:r w:rsidRPr="00D92149">
              <w:rPr>
                <w:rFonts w:ascii="Verdana" w:hAnsi="Verdana"/>
                <w:sz w:val="22"/>
                <w:szCs w:val="22"/>
              </w:rPr>
              <w:t>imiglucerase</w:t>
            </w:r>
            <w:proofErr w:type="spellEnd"/>
            <w:r w:rsidRPr="00D92149">
              <w:rPr>
                <w:rFonts w:ascii="Verdana" w:hAnsi="Verdana"/>
                <w:sz w:val="22"/>
                <w:szCs w:val="22"/>
              </w:rPr>
              <w:t>) 400 unit IV vial for non-CNS manifestations of type 1 or type 3 Gaucher disease</w:t>
            </w:r>
          </w:p>
          <w:p w14:paraId="664D13AD" w14:textId="77777777" w:rsidR="00E031F4" w:rsidRPr="00851125" w:rsidRDefault="00E031F4" w:rsidP="00E031F4">
            <w:pPr>
              <w:pStyle w:val="Default"/>
              <w:rPr>
                <w:rFonts w:ascii="Verdana" w:hAnsi="Verdana"/>
                <w:b/>
                <w:bCs/>
                <w:sz w:val="22"/>
                <w:szCs w:val="22"/>
              </w:rPr>
            </w:pPr>
          </w:p>
        </w:tc>
        <w:tc>
          <w:tcPr>
            <w:tcW w:w="3408" w:type="dxa"/>
            <w:shd w:val="clear" w:color="auto" w:fill="auto"/>
          </w:tcPr>
          <w:p w14:paraId="604467C8" w14:textId="77777777" w:rsidR="002543A7" w:rsidRPr="00D92149" w:rsidRDefault="002543A7" w:rsidP="002543A7">
            <w:pPr>
              <w:rPr>
                <w:rFonts w:ascii="Verdana" w:hAnsi="Verdana"/>
              </w:rPr>
            </w:pPr>
            <w:r w:rsidRPr="00D92149">
              <w:rPr>
                <w:rFonts w:ascii="Verdana" w:hAnsi="Verdana"/>
              </w:rPr>
              <w:t>NF: all lines of business</w:t>
            </w:r>
          </w:p>
          <w:p w14:paraId="35F8C6B7" w14:textId="77777777" w:rsidR="00E031F4" w:rsidRPr="00851125" w:rsidRDefault="00E031F4" w:rsidP="00E031F4">
            <w:pPr>
              <w:rPr>
                <w:rFonts w:ascii="Verdana" w:hAnsi="Verdana"/>
              </w:rPr>
            </w:pPr>
          </w:p>
        </w:tc>
        <w:tc>
          <w:tcPr>
            <w:tcW w:w="3664" w:type="dxa"/>
            <w:shd w:val="clear" w:color="auto" w:fill="auto"/>
          </w:tcPr>
          <w:p w14:paraId="442645B8" w14:textId="77777777" w:rsidR="00E031F4" w:rsidRPr="0030792C" w:rsidRDefault="00E031F4" w:rsidP="00E031F4">
            <w:pPr>
              <w:rPr>
                <w:rFonts w:ascii="Verdana" w:hAnsi="Verdana"/>
              </w:rPr>
            </w:pPr>
            <w:r w:rsidRPr="0030792C">
              <w:rPr>
                <w:rFonts w:ascii="Verdana" w:hAnsi="Verdana"/>
              </w:rPr>
              <w:t>No change</w:t>
            </w:r>
          </w:p>
          <w:p w14:paraId="23EC1F6B" w14:textId="77777777" w:rsidR="00E031F4" w:rsidRPr="0030792C" w:rsidRDefault="00E031F4" w:rsidP="00E031F4">
            <w:pPr>
              <w:rPr>
                <w:rFonts w:ascii="Verdana" w:hAnsi="Verdana"/>
              </w:rPr>
            </w:pPr>
          </w:p>
        </w:tc>
      </w:tr>
    </w:tbl>
    <w:p w14:paraId="0671F897" w14:textId="3AD8DE7D" w:rsidR="007D1D6A" w:rsidRDefault="007D1D6A" w:rsidP="003628BE">
      <w:pPr>
        <w:rPr>
          <w:rFonts w:ascii="Verdana" w:eastAsia="Times New Roman" w:hAnsi="Verdana" w:cs="Arial"/>
          <w:sz w:val="20"/>
          <w:szCs w:val="20"/>
        </w:rPr>
      </w:pPr>
    </w:p>
    <w:p w14:paraId="02C37149" w14:textId="77777777" w:rsidR="00365EDB" w:rsidRDefault="00365EDB" w:rsidP="003628BE">
      <w:pPr>
        <w:rPr>
          <w:rFonts w:ascii="Verdana" w:eastAsia="Times New Roman" w:hAnsi="Verdana" w:cs="Arial"/>
          <w:sz w:val="20"/>
          <w:szCs w:val="20"/>
        </w:rPr>
      </w:pPr>
    </w:p>
    <w:p w14:paraId="3A8E304B" w14:textId="77777777" w:rsidR="00365EDB" w:rsidRPr="00852F8C" w:rsidRDefault="00365EDB" w:rsidP="003628BE">
      <w:pPr>
        <w:rPr>
          <w:rFonts w:ascii="Verdana" w:eastAsia="Times New Roman" w:hAnsi="Verdana" w:cs="Arial"/>
          <w:sz w:val="20"/>
          <w:szCs w:val="20"/>
        </w:rPr>
      </w:pPr>
    </w:p>
    <w:tbl>
      <w:tblPr>
        <w:tblStyle w:val="LightList-Accent5"/>
        <w:tblW w:w="10885" w:type="dxa"/>
        <w:tblInd w:w="-9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10885"/>
      </w:tblGrid>
      <w:tr w:rsidR="004971A5" w:rsidRPr="00852F8C" w14:paraId="26EAAAF1" w14:textId="77777777" w:rsidTr="001C6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shd w:val="clear" w:color="auto" w:fill="00205B"/>
          </w:tcPr>
          <w:p w14:paraId="34B53623" w14:textId="79C97540" w:rsidR="004971A5" w:rsidRPr="00852F8C" w:rsidRDefault="004971A5" w:rsidP="001C6EB3">
            <w:pPr>
              <w:spacing w:after="240"/>
              <w:rPr>
                <w:rFonts w:ascii="Verdana" w:eastAsia="Times New Roman" w:hAnsi="Verdana" w:cs="Arial"/>
                <w:sz w:val="20"/>
                <w:szCs w:val="20"/>
              </w:rPr>
            </w:pPr>
            <w:r w:rsidRPr="00852F8C">
              <w:rPr>
                <w:rFonts w:ascii="Verdana" w:eastAsia="Times New Roman" w:hAnsi="Verdana" w:cs="Arial"/>
                <w:sz w:val="20"/>
                <w:szCs w:val="20"/>
              </w:rPr>
              <w:t xml:space="preserve">New Generics Review </w:t>
            </w:r>
          </w:p>
        </w:tc>
      </w:tr>
    </w:tbl>
    <w:tbl>
      <w:tblPr>
        <w:tblStyle w:val="TableGrid"/>
        <w:tblW w:w="10917" w:type="dxa"/>
        <w:tblInd w:w="-95" w:type="dxa"/>
        <w:tblLook w:val="04A0" w:firstRow="1" w:lastRow="0" w:firstColumn="1" w:lastColumn="0" w:noHBand="0" w:noVBand="1"/>
      </w:tblPr>
      <w:tblGrid>
        <w:gridCol w:w="2520"/>
        <w:gridCol w:w="4262"/>
        <w:gridCol w:w="4135"/>
      </w:tblGrid>
      <w:tr w:rsidR="004971A5" w:rsidRPr="00852F8C" w14:paraId="3AC4146F" w14:textId="77777777" w:rsidTr="001C6EB3">
        <w:trPr>
          <w:trHeight w:val="566"/>
        </w:trPr>
        <w:tc>
          <w:tcPr>
            <w:tcW w:w="2520" w:type="dxa"/>
          </w:tcPr>
          <w:p w14:paraId="13ACAB4E" w14:textId="77777777" w:rsidR="004971A5" w:rsidRPr="00852F8C" w:rsidRDefault="004971A5" w:rsidP="001C6EB3">
            <w:pPr>
              <w:spacing w:after="240"/>
              <w:rPr>
                <w:rFonts w:ascii="Verdana" w:eastAsia="Times New Roman" w:hAnsi="Verdana" w:cs="Arial"/>
                <w:sz w:val="20"/>
                <w:szCs w:val="20"/>
              </w:rPr>
            </w:pPr>
            <w:r w:rsidRPr="00852F8C">
              <w:rPr>
                <w:rFonts w:ascii="Verdana" w:hAnsi="Verdana"/>
                <w:b/>
                <w:bCs/>
                <w:sz w:val="20"/>
                <w:szCs w:val="20"/>
              </w:rPr>
              <w:t>Drug</w:t>
            </w:r>
          </w:p>
        </w:tc>
        <w:tc>
          <w:tcPr>
            <w:tcW w:w="4262" w:type="dxa"/>
          </w:tcPr>
          <w:p w14:paraId="62349B50" w14:textId="20D15088" w:rsidR="004971A5" w:rsidRPr="00AB22E9" w:rsidRDefault="00AB22E9" w:rsidP="001C6EB3">
            <w:pPr>
              <w:spacing w:after="240"/>
              <w:rPr>
                <w:rFonts w:ascii="Verdana" w:eastAsia="Times New Roman" w:hAnsi="Verdana" w:cs="Arial"/>
                <w:b/>
                <w:bCs/>
                <w:sz w:val="20"/>
                <w:szCs w:val="20"/>
              </w:rPr>
            </w:pPr>
            <w:r w:rsidRPr="00AB22E9">
              <w:rPr>
                <w:rFonts w:ascii="Verdana" w:eastAsia="Times New Roman" w:hAnsi="Verdana" w:cs="Arial"/>
                <w:b/>
                <w:bCs/>
                <w:sz w:val="20"/>
                <w:szCs w:val="20"/>
              </w:rPr>
              <w:t>Rationale/Alternative</w:t>
            </w:r>
          </w:p>
        </w:tc>
        <w:tc>
          <w:tcPr>
            <w:tcW w:w="4135" w:type="dxa"/>
          </w:tcPr>
          <w:p w14:paraId="17372CF3" w14:textId="77777777" w:rsidR="004971A5" w:rsidRPr="00852F8C" w:rsidRDefault="004971A5" w:rsidP="001C6EB3">
            <w:pPr>
              <w:spacing w:after="240"/>
              <w:rPr>
                <w:rFonts w:ascii="Verdana" w:eastAsia="Times New Roman" w:hAnsi="Verdana" w:cs="Arial"/>
                <w:sz w:val="20"/>
                <w:szCs w:val="20"/>
              </w:rPr>
            </w:pPr>
            <w:r w:rsidRPr="00852F8C">
              <w:rPr>
                <w:rFonts w:ascii="Verdana" w:hAnsi="Verdana"/>
                <w:b/>
                <w:sz w:val="20"/>
                <w:szCs w:val="20"/>
              </w:rPr>
              <w:t>Recommendation</w:t>
            </w:r>
          </w:p>
        </w:tc>
      </w:tr>
      <w:tr w:rsidR="00E031F4" w:rsidRPr="006547A2" w14:paraId="5ACE4110" w14:textId="77777777" w:rsidTr="001C6EB3">
        <w:tc>
          <w:tcPr>
            <w:tcW w:w="2520" w:type="dxa"/>
            <w:shd w:val="clear" w:color="auto" w:fill="auto"/>
          </w:tcPr>
          <w:p w14:paraId="0F50BBF8" w14:textId="5786174B" w:rsidR="00E031F4" w:rsidRPr="006547A2" w:rsidRDefault="002543A7" w:rsidP="00E031F4">
            <w:pPr>
              <w:rPr>
                <w:rFonts w:ascii="Verdana" w:hAnsi="Verdana" w:cs="Arial"/>
              </w:rPr>
            </w:pPr>
            <w:proofErr w:type="spellStart"/>
            <w:r w:rsidRPr="007C3E0E">
              <w:rPr>
                <w:rFonts w:ascii="Verdana" w:hAnsi="Verdana"/>
                <w:b/>
                <w:bCs/>
              </w:rPr>
              <w:t>Starjemza</w:t>
            </w:r>
            <w:proofErr w:type="spellEnd"/>
            <w:r w:rsidRPr="007C3E0E">
              <w:rPr>
                <w:rFonts w:ascii="Verdana" w:hAnsi="Verdana"/>
              </w:rPr>
              <w:t xml:space="preserve"> (</w:t>
            </w:r>
            <w:proofErr w:type="spellStart"/>
            <w:r w:rsidRPr="007C3E0E">
              <w:rPr>
                <w:rFonts w:ascii="Verdana" w:hAnsi="Verdana"/>
              </w:rPr>
              <w:t>ustekinumab</w:t>
            </w:r>
            <w:proofErr w:type="spellEnd"/>
            <w:r w:rsidRPr="007C3E0E">
              <w:rPr>
                <w:rFonts w:ascii="Verdana" w:hAnsi="Verdana"/>
              </w:rPr>
              <w:t>) 45 mg/0.5 mL SQ vial &amp; PFS and 90 mg/mL PFS</w:t>
            </w:r>
          </w:p>
        </w:tc>
        <w:tc>
          <w:tcPr>
            <w:tcW w:w="4262" w:type="dxa"/>
            <w:shd w:val="clear" w:color="auto" w:fill="auto"/>
          </w:tcPr>
          <w:p w14:paraId="00CE54C3" w14:textId="77777777" w:rsidR="002543A7" w:rsidRPr="007C3E0E" w:rsidRDefault="002543A7" w:rsidP="002543A7">
            <w:pPr>
              <w:rPr>
                <w:rFonts w:ascii="Verdana" w:hAnsi="Verdana"/>
              </w:rPr>
            </w:pPr>
            <w:r w:rsidRPr="007C3E0E">
              <w:rPr>
                <w:rFonts w:ascii="Verdana" w:hAnsi="Verdana"/>
              </w:rPr>
              <w:t>New biosimilar for Stelara has launched</w:t>
            </w:r>
          </w:p>
          <w:p w14:paraId="2747E42C" w14:textId="26CBCFCA" w:rsidR="00E031F4" w:rsidRPr="006547A2" w:rsidRDefault="00E031F4" w:rsidP="00E031F4">
            <w:pPr>
              <w:rPr>
                <w:rFonts w:ascii="Verdana" w:hAnsi="Verdana"/>
              </w:rPr>
            </w:pPr>
          </w:p>
        </w:tc>
        <w:tc>
          <w:tcPr>
            <w:tcW w:w="4135" w:type="dxa"/>
            <w:shd w:val="clear" w:color="auto" w:fill="auto"/>
          </w:tcPr>
          <w:p w14:paraId="572FAFAD" w14:textId="77777777" w:rsidR="009530F9" w:rsidRPr="00AB1A50" w:rsidRDefault="009530F9" w:rsidP="009530F9">
            <w:pPr>
              <w:rPr>
                <w:rFonts w:ascii="Verdana" w:hAnsi="Verdana"/>
              </w:rPr>
            </w:pPr>
            <w:r w:rsidRPr="00AB1A50">
              <w:rPr>
                <w:rFonts w:ascii="Verdana" w:hAnsi="Verdana"/>
              </w:rPr>
              <w:t>NF</w:t>
            </w:r>
            <w:r>
              <w:rPr>
                <w:rFonts w:ascii="Verdana" w:hAnsi="Verdana"/>
              </w:rPr>
              <w:t>:</w:t>
            </w:r>
            <w:r w:rsidRPr="00AB1A50">
              <w:rPr>
                <w:rFonts w:ascii="Verdana" w:hAnsi="Verdana"/>
              </w:rPr>
              <w:t xml:space="preserve"> all lines of business</w:t>
            </w:r>
          </w:p>
          <w:p w14:paraId="0C0945FA" w14:textId="3255B23D" w:rsidR="00E031F4" w:rsidRPr="006547A2" w:rsidRDefault="00E031F4" w:rsidP="00E031F4">
            <w:pPr>
              <w:rPr>
                <w:rFonts w:ascii="Verdana" w:hAnsi="Verdana"/>
              </w:rPr>
            </w:pPr>
          </w:p>
        </w:tc>
      </w:tr>
      <w:tr w:rsidR="00E031F4" w:rsidRPr="006547A2" w14:paraId="153DEB7E" w14:textId="77777777" w:rsidTr="001C6EB3">
        <w:tc>
          <w:tcPr>
            <w:tcW w:w="2520" w:type="dxa"/>
            <w:shd w:val="clear" w:color="auto" w:fill="auto"/>
          </w:tcPr>
          <w:p w14:paraId="722233AB" w14:textId="77777777" w:rsidR="009530F9" w:rsidRPr="007C3E0E" w:rsidRDefault="009530F9" w:rsidP="009530F9">
            <w:pPr>
              <w:rPr>
                <w:rFonts w:ascii="Verdana" w:hAnsi="Verdana"/>
              </w:rPr>
            </w:pPr>
            <w:r w:rsidRPr="007C3E0E">
              <w:rPr>
                <w:rFonts w:ascii="Verdana" w:hAnsi="Verdana"/>
                <w:lang w:val="da-DK"/>
              </w:rPr>
              <w:t>Halog (</w:t>
            </w:r>
            <w:r w:rsidRPr="007C3E0E">
              <w:rPr>
                <w:rFonts w:ascii="Verdana" w:hAnsi="Verdana"/>
                <w:b/>
                <w:bCs/>
                <w:lang w:val="da-DK"/>
              </w:rPr>
              <w:t>halcinonide</w:t>
            </w:r>
            <w:r w:rsidRPr="007C3E0E">
              <w:rPr>
                <w:rFonts w:ascii="Verdana" w:hAnsi="Verdana"/>
                <w:lang w:val="da-DK"/>
              </w:rPr>
              <w:t>) 0.1% topical solution for dermatoses</w:t>
            </w:r>
          </w:p>
          <w:p w14:paraId="0FDA7E69" w14:textId="0694AAAB" w:rsidR="00E031F4" w:rsidRPr="006547A2" w:rsidRDefault="00E031F4" w:rsidP="00E031F4">
            <w:pPr>
              <w:rPr>
                <w:rFonts w:ascii="Verdana" w:hAnsi="Verdana" w:cs="Arial"/>
              </w:rPr>
            </w:pPr>
          </w:p>
        </w:tc>
        <w:tc>
          <w:tcPr>
            <w:tcW w:w="4262" w:type="dxa"/>
            <w:shd w:val="clear" w:color="auto" w:fill="auto"/>
          </w:tcPr>
          <w:p w14:paraId="6E3F99E1" w14:textId="77777777" w:rsidR="009530F9" w:rsidRPr="007C3E0E" w:rsidRDefault="009530F9" w:rsidP="009530F9">
            <w:pPr>
              <w:rPr>
                <w:rFonts w:ascii="Verdana" w:hAnsi="Verdana"/>
              </w:rPr>
            </w:pPr>
            <w:r w:rsidRPr="007C3E0E">
              <w:rPr>
                <w:rFonts w:ascii="Verdana" w:hAnsi="Verdana"/>
              </w:rPr>
              <w:t xml:space="preserve">A generic halcinonide solution has </w:t>
            </w:r>
            <w:proofErr w:type="gramStart"/>
            <w:r w:rsidRPr="007C3E0E">
              <w:rPr>
                <w:rFonts w:ascii="Verdana" w:hAnsi="Verdana"/>
              </w:rPr>
              <w:t>launched</w:t>
            </w:r>
            <w:proofErr w:type="gramEnd"/>
            <w:r w:rsidRPr="007C3E0E">
              <w:rPr>
                <w:rFonts w:ascii="Verdana" w:hAnsi="Verdana"/>
              </w:rPr>
              <w:t xml:space="preserve"> with no difference in list prices to the branded agent, Halog. As this branded product was already not covered, both brand and generic will remain not covered.</w:t>
            </w:r>
          </w:p>
          <w:p w14:paraId="4C302C2E" w14:textId="4D08A897" w:rsidR="00E031F4" w:rsidRPr="006547A2" w:rsidRDefault="00E031F4" w:rsidP="00E031F4">
            <w:pPr>
              <w:rPr>
                <w:rFonts w:ascii="Verdana" w:hAnsi="Verdana"/>
              </w:rPr>
            </w:pPr>
          </w:p>
        </w:tc>
        <w:tc>
          <w:tcPr>
            <w:tcW w:w="4135" w:type="dxa"/>
            <w:shd w:val="clear" w:color="auto" w:fill="auto"/>
          </w:tcPr>
          <w:p w14:paraId="7B792009" w14:textId="1A7EE8AC" w:rsidR="009530F9" w:rsidRPr="007C3E0E" w:rsidRDefault="009530F9" w:rsidP="009530F9">
            <w:pPr>
              <w:rPr>
                <w:rFonts w:ascii="Verdana" w:hAnsi="Verdana"/>
              </w:rPr>
            </w:pPr>
            <w:r w:rsidRPr="007C3E0E">
              <w:rPr>
                <w:rFonts w:ascii="Verdana" w:hAnsi="Verdana"/>
              </w:rPr>
              <w:t>NF</w:t>
            </w:r>
            <w:r>
              <w:rPr>
                <w:rFonts w:ascii="Verdana" w:hAnsi="Verdana"/>
              </w:rPr>
              <w:t>:</w:t>
            </w:r>
            <w:r w:rsidRPr="007C3E0E">
              <w:rPr>
                <w:rFonts w:ascii="Verdana" w:hAnsi="Verdana"/>
              </w:rPr>
              <w:t xml:space="preserve"> all lines of business</w:t>
            </w:r>
          </w:p>
          <w:p w14:paraId="6F1BB6BA" w14:textId="28A88CD5" w:rsidR="00E031F4" w:rsidRPr="006547A2" w:rsidRDefault="00E031F4" w:rsidP="00E031F4">
            <w:pPr>
              <w:rPr>
                <w:rFonts w:ascii="Verdana" w:hAnsi="Verdana"/>
              </w:rPr>
            </w:pPr>
          </w:p>
        </w:tc>
      </w:tr>
      <w:tr w:rsidR="00E031F4" w:rsidRPr="006547A2" w14:paraId="466104D0" w14:textId="77777777" w:rsidTr="001C6EB3">
        <w:tc>
          <w:tcPr>
            <w:tcW w:w="2520" w:type="dxa"/>
            <w:shd w:val="clear" w:color="auto" w:fill="auto"/>
          </w:tcPr>
          <w:p w14:paraId="45194B86" w14:textId="77777777" w:rsidR="009530F9" w:rsidRPr="007C3E0E" w:rsidRDefault="009530F9" w:rsidP="009530F9">
            <w:pPr>
              <w:rPr>
                <w:rFonts w:ascii="Verdana" w:hAnsi="Verdana"/>
                <w:color w:val="000000"/>
              </w:rPr>
            </w:pPr>
            <w:proofErr w:type="spellStart"/>
            <w:r w:rsidRPr="007C3E0E">
              <w:rPr>
                <w:rFonts w:ascii="Verdana" w:hAnsi="Verdana"/>
                <w:color w:val="000000"/>
              </w:rPr>
              <w:t>Gleostine</w:t>
            </w:r>
            <w:proofErr w:type="spellEnd"/>
            <w:r w:rsidRPr="007C3E0E">
              <w:rPr>
                <w:rFonts w:ascii="Verdana" w:hAnsi="Verdana"/>
                <w:color w:val="000000"/>
              </w:rPr>
              <w:t xml:space="preserve"> (</w:t>
            </w:r>
            <w:proofErr w:type="spellStart"/>
            <w:r w:rsidRPr="007C3E0E">
              <w:rPr>
                <w:rFonts w:ascii="Verdana" w:hAnsi="Verdana"/>
                <w:b/>
                <w:bCs/>
                <w:color w:val="000000"/>
              </w:rPr>
              <w:t>lomustine</w:t>
            </w:r>
            <w:proofErr w:type="spellEnd"/>
            <w:r w:rsidRPr="007C3E0E">
              <w:rPr>
                <w:rFonts w:ascii="Verdana" w:hAnsi="Verdana"/>
                <w:color w:val="000000"/>
              </w:rPr>
              <w:t>) 10, 40, &amp; 100 mg capsules for brain tumors &amp; Hodgkin lymphoma</w:t>
            </w:r>
          </w:p>
          <w:p w14:paraId="471AAA8F" w14:textId="57B5AC61" w:rsidR="00E031F4" w:rsidRPr="006547A2" w:rsidRDefault="00E031F4" w:rsidP="00E031F4">
            <w:pPr>
              <w:rPr>
                <w:rFonts w:ascii="Verdana" w:hAnsi="Verdana" w:cs="Arial"/>
              </w:rPr>
            </w:pPr>
          </w:p>
        </w:tc>
        <w:tc>
          <w:tcPr>
            <w:tcW w:w="4262" w:type="dxa"/>
            <w:shd w:val="clear" w:color="auto" w:fill="auto"/>
          </w:tcPr>
          <w:p w14:paraId="21D92D54" w14:textId="77777777" w:rsidR="009530F9" w:rsidRPr="007C3E0E" w:rsidRDefault="009530F9" w:rsidP="009530F9">
            <w:pPr>
              <w:rPr>
                <w:rFonts w:ascii="Verdana" w:hAnsi="Verdana"/>
              </w:rPr>
            </w:pPr>
            <w:r w:rsidRPr="007C3E0E">
              <w:rPr>
                <w:rFonts w:ascii="Verdana" w:hAnsi="Verdana"/>
              </w:rPr>
              <w:t xml:space="preserve">A generic </w:t>
            </w:r>
            <w:proofErr w:type="spellStart"/>
            <w:r w:rsidRPr="007C3E0E">
              <w:rPr>
                <w:rFonts w:ascii="Verdana" w:hAnsi="Verdana"/>
              </w:rPr>
              <w:t>lomustine</w:t>
            </w:r>
            <w:proofErr w:type="spellEnd"/>
            <w:r w:rsidRPr="007C3E0E">
              <w:rPr>
                <w:rFonts w:ascii="Verdana" w:hAnsi="Verdana"/>
              </w:rPr>
              <w:t xml:space="preserve"> capsule has launched for all strengths currently on the market for branded </w:t>
            </w:r>
            <w:proofErr w:type="spellStart"/>
            <w:r w:rsidRPr="007C3E0E">
              <w:rPr>
                <w:rFonts w:ascii="Verdana" w:hAnsi="Verdana"/>
              </w:rPr>
              <w:t>Gleostine</w:t>
            </w:r>
            <w:proofErr w:type="spellEnd"/>
            <w:r w:rsidRPr="007C3E0E">
              <w:rPr>
                <w:rFonts w:ascii="Verdana" w:hAnsi="Verdana"/>
              </w:rPr>
              <w:t xml:space="preserve">. The new generic product is approximately a 14% discount from the branded list prices. </w:t>
            </w:r>
          </w:p>
          <w:p w14:paraId="650E1CBE" w14:textId="569971F5" w:rsidR="00E031F4" w:rsidRPr="006547A2" w:rsidRDefault="00E031F4" w:rsidP="00E031F4">
            <w:pPr>
              <w:rPr>
                <w:rFonts w:ascii="Verdana" w:hAnsi="Verdana"/>
              </w:rPr>
            </w:pPr>
          </w:p>
        </w:tc>
        <w:tc>
          <w:tcPr>
            <w:tcW w:w="4135" w:type="dxa"/>
            <w:shd w:val="clear" w:color="auto" w:fill="auto"/>
          </w:tcPr>
          <w:p w14:paraId="2BA53010" w14:textId="3681B586" w:rsidR="009530F9" w:rsidRPr="007C3E0E" w:rsidRDefault="009530F9" w:rsidP="009530F9">
            <w:pPr>
              <w:rPr>
                <w:rFonts w:ascii="Verdana" w:hAnsi="Verdana"/>
              </w:rPr>
            </w:pPr>
            <w:r w:rsidRPr="007C3E0E">
              <w:rPr>
                <w:rFonts w:ascii="Verdana" w:hAnsi="Verdana"/>
              </w:rPr>
              <w:t>F</w:t>
            </w:r>
            <w:proofErr w:type="gramStart"/>
            <w:r w:rsidRPr="007C3E0E">
              <w:rPr>
                <w:rFonts w:ascii="Verdana" w:hAnsi="Verdana"/>
              </w:rPr>
              <w:t xml:space="preserve">: </w:t>
            </w:r>
            <w:r>
              <w:rPr>
                <w:rFonts w:ascii="Verdana" w:hAnsi="Verdana"/>
              </w:rPr>
              <w:t xml:space="preserve"> </w:t>
            </w:r>
            <w:r w:rsidRPr="007C3E0E">
              <w:rPr>
                <w:rFonts w:ascii="Verdana" w:hAnsi="Verdana"/>
              </w:rPr>
              <w:t>MA</w:t>
            </w:r>
            <w:proofErr w:type="gramEnd"/>
          </w:p>
          <w:p w14:paraId="7B319C8B" w14:textId="77777777" w:rsidR="009530F9" w:rsidRPr="007C3E0E" w:rsidRDefault="009530F9" w:rsidP="009530F9">
            <w:pPr>
              <w:rPr>
                <w:rFonts w:ascii="Verdana" w:hAnsi="Verdana"/>
              </w:rPr>
            </w:pPr>
            <w:r w:rsidRPr="007C3E0E">
              <w:rPr>
                <w:rFonts w:ascii="Verdana" w:hAnsi="Verdana"/>
              </w:rPr>
              <w:t>NF</w:t>
            </w:r>
            <w:r>
              <w:rPr>
                <w:rFonts w:ascii="Verdana" w:hAnsi="Verdana"/>
              </w:rPr>
              <w:t>:</w:t>
            </w:r>
            <w:r w:rsidRPr="007C3E0E">
              <w:rPr>
                <w:rFonts w:ascii="Verdana" w:hAnsi="Verdana"/>
              </w:rPr>
              <w:t xml:space="preserve"> IFP</w:t>
            </w:r>
          </w:p>
          <w:p w14:paraId="69719B55" w14:textId="19675143" w:rsidR="00E031F4" w:rsidRPr="006547A2" w:rsidRDefault="00E031F4" w:rsidP="00E031F4">
            <w:pPr>
              <w:rPr>
                <w:rFonts w:ascii="Verdana" w:hAnsi="Verdana"/>
              </w:rPr>
            </w:pPr>
          </w:p>
        </w:tc>
      </w:tr>
      <w:tr w:rsidR="00E031F4" w:rsidRPr="006547A2" w14:paraId="097E7538" w14:textId="77777777" w:rsidTr="001C6EB3">
        <w:tc>
          <w:tcPr>
            <w:tcW w:w="2520" w:type="dxa"/>
            <w:shd w:val="clear" w:color="auto" w:fill="auto"/>
          </w:tcPr>
          <w:p w14:paraId="738CEB5B" w14:textId="77777777" w:rsidR="009530F9" w:rsidRPr="007C3E0E" w:rsidRDefault="009530F9" w:rsidP="009530F9">
            <w:pPr>
              <w:rPr>
                <w:rFonts w:ascii="Verdana" w:hAnsi="Verdana"/>
                <w:color w:val="000000"/>
              </w:rPr>
            </w:pPr>
            <w:r w:rsidRPr="007C3E0E">
              <w:rPr>
                <w:rFonts w:ascii="Verdana" w:hAnsi="Verdana"/>
                <w:color w:val="000000"/>
              </w:rPr>
              <w:lastRenderedPageBreak/>
              <w:t>Premarin (</w:t>
            </w:r>
            <w:r w:rsidRPr="007C3E0E">
              <w:rPr>
                <w:rFonts w:ascii="Verdana" w:hAnsi="Verdana"/>
                <w:b/>
                <w:bCs/>
                <w:color w:val="000000"/>
              </w:rPr>
              <w:t>conjugated estrogens</w:t>
            </w:r>
            <w:r w:rsidRPr="007C3E0E">
              <w:rPr>
                <w:rFonts w:ascii="Verdana" w:hAnsi="Verdana"/>
                <w:color w:val="000000"/>
              </w:rPr>
              <w:t>) 0.3, 0.45, 0.625, 0.9, &amp; 1.25 mg tablets for menopausal symptoms, hypoestrogenism, and palliation for breast &amp; prostate cancer</w:t>
            </w:r>
          </w:p>
          <w:p w14:paraId="3DEBB748" w14:textId="7B2339EF" w:rsidR="00E031F4" w:rsidRPr="006547A2" w:rsidRDefault="00E031F4" w:rsidP="00E031F4">
            <w:pPr>
              <w:rPr>
                <w:rFonts w:ascii="Verdana" w:hAnsi="Verdana" w:cs="Arial"/>
              </w:rPr>
            </w:pPr>
          </w:p>
        </w:tc>
        <w:tc>
          <w:tcPr>
            <w:tcW w:w="4262" w:type="dxa"/>
            <w:shd w:val="clear" w:color="auto" w:fill="auto"/>
          </w:tcPr>
          <w:p w14:paraId="32932160" w14:textId="77777777" w:rsidR="009530F9" w:rsidRPr="007C3E0E" w:rsidRDefault="009530F9" w:rsidP="009530F9">
            <w:pPr>
              <w:rPr>
                <w:rFonts w:ascii="Verdana" w:hAnsi="Verdana"/>
              </w:rPr>
            </w:pPr>
            <w:r w:rsidRPr="007C3E0E">
              <w:rPr>
                <w:rFonts w:ascii="Verdana" w:hAnsi="Verdana"/>
              </w:rPr>
              <w:t xml:space="preserve">A generic for Premarin tablets has launched. The brand name was not </w:t>
            </w:r>
            <w:proofErr w:type="gramStart"/>
            <w:r w:rsidRPr="007C3E0E">
              <w:rPr>
                <w:rFonts w:ascii="Verdana" w:hAnsi="Verdana"/>
              </w:rPr>
              <w:t>covered</w:t>
            </w:r>
            <w:proofErr w:type="gramEnd"/>
            <w:r w:rsidRPr="007C3E0E">
              <w:rPr>
                <w:rFonts w:ascii="Verdana" w:hAnsi="Verdana"/>
              </w:rPr>
              <w:t xml:space="preserve"> and the generic will remain not covered.</w:t>
            </w:r>
          </w:p>
          <w:p w14:paraId="16E31F99" w14:textId="0BF2E392" w:rsidR="00E031F4" w:rsidRPr="006547A2" w:rsidRDefault="00E031F4" w:rsidP="00E031F4">
            <w:pPr>
              <w:rPr>
                <w:rFonts w:ascii="Verdana" w:hAnsi="Verdana"/>
              </w:rPr>
            </w:pPr>
          </w:p>
        </w:tc>
        <w:tc>
          <w:tcPr>
            <w:tcW w:w="4135" w:type="dxa"/>
            <w:shd w:val="clear" w:color="auto" w:fill="auto"/>
          </w:tcPr>
          <w:p w14:paraId="1485B90D" w14:textId="67599FB0" w:rsidR="009530F9" w:rsidRPr="007C3E0E" w:rsidRDefault="009530F9" w:rsidP="009530F9">
            <w:pPr>
              <w:rPr>
                <w:rFonts w:ascii="Verdana" w:hAnsi="Verdana"/>
              </w:rPr>
            </w:pPr>
            <w:r w:rsidRPr="007C3E0E">
              <w:rPr>
                <w:rFonts w:ascii="Verdana" w:hAnsi="Verdana"/>
              </w:rPr>
              <w:t>NF</w:t>
            </w:r>
            <w:r>
              <w:rPr>
                <w:rFonts w:ascii="Verdana" w:hAnsi="Verdana"/>
              </w:rPr>
              <w:t>:</w:t>
            </w:r>
            <w:r w:rsidRPr="007C3E0E">
              <w:rPr>
                <w:rFonts w:ascii="Verdana" w:hAnsi="Verdana"/>
              </w:rPr>
              <w:t xml:space="preserve"> all lines of business</w:t>
            </w:r>
          </w:p>
          <w:p w14:paraId="223FED47" w14:textId="07DBB915" w:rsidR="00E031F4" w:rsidRPr="006547A2" w:rsidRDefault="00E031F4" w:rsidP="00E031F4">
            <w:pPr>
              <w:rPr>
                <w:rFonts w:ascii="Verdana" w:hAnsi="Verdana"/>
              </w:rPr>
            </w:pPr>
          </w:p>
        </w:tc>
      </w:tr>
      <w:tr w:rsidR="00E031F4" w:rsidRPr="006547A2" w14:paraId="22504A76" w14:textId="77777777" w:rsidTr="001C6EB3">
        <w:tc>
          <w:tcPr>
            <w:tcW w:w="2520" w:type="dxa"/>
            <w:shd w:val="clear" w:color="auto" w:fill="auto"/>
          </w:tcPr>
          <w:p w14:paraId="3C4AC856" w14:textId="77777777" w:rsidR="009530F9" w:rsidRPr="007C3E0E" w:rsidRDefault="009530F9" w:rsidP="009530F9">
            <w:pPr>
              <w:rPr>
                <w:rFonts w:ascii="Verdana" w:hAnsi="Verdana"/>
                <w:color w:val="000000"/>
              </w:rPr>
            </w:pPr>
            <w:proofErr w:type="spellStart"/>
            <w:r w:rsidRPr="007C3E0E">
              <w:rPr>
                <w:rFonts w:ascii="Verdana" w:hAnsi="Verdana"/>
                <w:color w:val="000000"/>
              </w:rPr>
              <w:t>Mavenclad</w:t>
            </w:r>
            <w:proofErr w:type="spellEnd"/>
            <w:r w:rsidRPr="007C3E0E">
              <w:rPr>
                <w:rFonts w:ascii="Verdana" w:hAnsi="Verdana"/>
                <w:color w:val="000000"/>
              </w:rPr>
              <w:t xml:space="preserve"> (</w:t>
            </w:r>
            <w:r w:rsidRPr="007C3E0E">
              <w:rPr>
                <w:rFonts w:ascii="Verdana" w:hAnsi="Verdana"/>
                <w:b/>
                <w:bCs/>
                <w:color w:val="000000"/>
              </w:rPr>
              <w:t>cladribine</w:t>
            </w:r>
            <w:r w:rsidRPr="007C3E0E">
              <w:rPr>
                <w:rFonts w:ascii="Verdana" w:hAnsi="Verdana"/>
                <w:color w:val="000000"/>
              </w:rPr>
              <w:t>) 10 mg tablets for multiple sclerosis</w:t>
            </w:r>
          </w:p>
          <w:p w14:paraId="69BBF7BE" w14:textId="0ED11093" w:rsidR="00E031F4" w:rsidRPr="006547A2" w:rsidRDefault="00E031F4" w:rsidP="00E031F4">
            <w:pPr>
              <w:rPr>
                <w:rFonts w:ascii="Verdana" w:hAnsi="Verdana" w:cs="Arial"/>
              </w:rPr>
            </w:pPr>
          </w:p>
        </w:tc>
        <w:tc>
          <w:tcPr>
            <w:tcW w:w="4262" w:type="dxa"/>
            <w:shd w:val="clear" w:color="auto" w:fill="auto"/>
          </w:tcPr>
          <w:p w14:paraId="6A22A005" w14:textId="77777777" w:rsidR="009530F9" w:rsidRPr="007C3E0E" w:rsidRDefault="009530F9" w:rsidP="009530F9">
            <w:pPr>
              <w:rPr>
                <w:rFonts w:ascii="Verdana" w:hAnsi="Verdana"/>
              </w:rPr>
            </w:pPr>
            <w:r w:rsidRPr="007C3E0E">
              <w:rPr>
                <w:rFonts w:ascii="Verdana" w:hAnsi="Verdana"/>
              </w:rPr>
              <w:t>Generic cladribine recently launched at approximately a 20% discount to the brand.</w:t>
            </w:r>
          </w:p>
          <w:p w14:paraId="6B1C1B92" w14:textId="6C18CF2E" w:rsidR="00E031F4" w:rsidRPr="006547A2" w:rsidRDefault="00E031F4" w:rsidP="00E031F4">
            <w:pPr>
              <w:rPr>
                <w:rFonts w:ascii="Verdana" w:hAnsi="Verdana"/>
              </w:rPr>
            </w:pPr>
          </w:p>
        </w:tc>
        <w:tc>
          <w:tcPr>
            <w:tcW w:w="4135" w:type="dxa"/>
            <w:shd w:val="clear" w:color="auto" w:fill="auto"/>
          </w:tcPr>
          <w:p w14:paraId="1854D276" w14:textId="77777777" w:rsidR="00E031F4" w:rsidRPr="00AB1A50" w:rsidRDefault="00E031F4" w:rsidP="00E031F4">
            <w:pPr>
              <w:rPr>
                <w:rFonts w:ascii="Verdana" w:hAnsi="Verdana"/>
              </w:rPr>
            </w:pPr>
            <w:r w:rsidRPr="00AB1A50">
              <w:rPr>
                <w:rFonts w:ascii="Verdana" w:hAnsi="Verdana"/>
              </w:rPr>
              <w:t>NF</w:t>
            </w:r>
            <w:r>
              <w:rPr>
                <w:rFonts w:ascii="Verdana" w:hAnsi="Verdana"/>
              </w:rPr>
              <w:t>:</w:t>
            </w:r>
            <w:r w:rsidRPr="00AB1A50">
              <w:rPr>
                <w:rFonts w:ascii="Verdana" w:hAnsi="Verdana"/>
              </w:rPr>
              <w:t xml:space="preserve"> all lines of business</w:t>
            </w:r>
          </w:p>
          <w:p w14:paraId="305AB14B" w14:textId="117283A2" w:rsidR="00E031F4" w:rsidRPr="006547A2" w:rsidRDefault="00E031F4" w:rsidP="00E031F4">
            <w:pPr>
              <w:rPr>
                <w:rFonts w:ascii="Verdana" w:hAnsi="Verdana"/>
              </w:rPr>
            </w:pPr>
          </w:p>
        </w:tc>
      </w:tr>
      <w:tr w:rsidR="00E031F4" w:rsidRPr="006547A2" w14:paraId="35A63BF4" w14:textId="77777777" w:rsidTr="001C6EB3">
        <w:tc>
          <w:tcPr>
            <w:tcW w:w="2520" w:type="dxa"/>
            <w:shd w:val="clear" w:color="auto" w:fill="auto"/>
          </w:tcPr>
          <w:p w14:paraId="7DFCB000" w14:textId="77777777" w:rsidR="009530F9" w:rsidRPr="007C3E0E" w:rsidRDefault="009530F9" w:rsidP="009530F9">
            <w:pPr>
              <w:rPr>
                <w:rFonts w:ascii="Verdana" w:hAnsi="Verdana"/>
                <w:color w:val="000000"/>
              </w:rPr>
            </w:pPr>
            <w:proofErr w:type="spellStart"/>
            <w:r w:rsidRPr="007C3E0E">
              <w:rPr>
                <w:rFonts w:ascii="Verdana" w:hAnsi="Verdana"/>
                <w:color w:val="000000"/>
              </w:rPr>
              <w:t>Fycompa</w:t>
            </w:r>
            <w:proofErr w:type="spellEnd"/>
            <w:r w:rsidRPr="007C3E0E">
              <w:rPr>
                <w:rFonts w:ascii="Verdana" w:hAnsi="Verdana"/>
                <w:color w:val="000000"/>
              </w:rPr>
              <w:t xml:space="preserve"> (</w:t>
            </w:r>
            <w:proofErr w:type="spellStart"/>
            <w:r w:rsidRPr="007C3E0E">
              <w:rPr>
                <w:rFonts w:ascii="Verdana" w:hAnsi="Verdana"/>
                <w:b/>
                <w:bCs/>
                <w:color w:val="000000"/>
              </w:rPr>
              <w:t>perampanel</w:t>
            </w:r>
            <w:proofErr w:type="spellEnd"/>
            <w:r w:rsidRPr="007C3E0E">
              <w:rPr>
                <w:rFonts w:ascii="Verdana" w:hAnsi="Verdana"/>
                <w:color w:val="000000"/>
              </w:rPr>
              <w:t>) 0.5 mg/mL oral suspension for epilepsy</w:t>
            </w:r>
          </w:p>
          <w:p w14:paraId="1A12B963" w14:textId="094C6C31" w:rsidR="00E031F4" w:rsidRPr="006547A2" w:rsidRDefault="00E031F4" w:rsidP="00E031F4">
            <w:pPr>
              <w:rPr>
                <w:rFonts w:ascii="Verdana" w:hAnsi="Verdana" w:cs="Arial"/>
              </w:rPr>
            </w:pPr>
          </w:p>
        </w:tc>
        <w:tc>
          <w:tcPr>
            <w:tcW w:w="4262" w:type="dxa"/>
            <w:shd w:val="clear" w:color="auto" w:fill="auto"/>
          </w:tcPr>
          <w:p w14:paraId="712486A0" w14:textId="77777777" w:rsidR="009530F9" w:rsidRPr="007C3E0E" w:rsidRDefault="009530F9" w:rsidP="009530F9">
            <w:pPr>
              <w:rPr>
                <w:rFonts w:ascii="Verdana" w:hAnsi="Verdana"/>
              </w:rPr>
            </w:pPr>
            <w:proofErr w:type="spellStart"/>
            <w:r w:rsidRPr="007C3E0E">
              <w:rPr>
                <w:rFonts w:ascii="Verdana" w:hAnsi="Verdana"/>
              </w:rPr>
              <w:t>Perampanel</w:t>
            </w:r>
            <w:proofErr w:type="spellEnd"/>
            <w:r w:rsidRPr="007C3E0E">
              <w:rPr>
                <w:rFonts w:ascii="Verdana" w:hAnsi="Verdana"/>
              </w:rPr>
              <w:t xml:space="preserve"> (</w:t>
            </w:r>
            <w:proofErr w:type="spellStart"/>
            <w:r w:rsidRPr="007C3E0E">
              <w:rPr>
                <w:rFonts w:ascii="Verdana" w:hAnsi="Verdana"/>
              </w:rPr>
              <w:t>Fycompa</w:t>
            </w:r>
            <w:proofErr w:type="spellEnd"/>
            <w:r w:rsidRPr="007C3E0E">
              <w:rPr>
                <w:rFonts w:ascii="Verdana" w:hAnsi="Verdana"/>
              </w:rPr>
              <w:t xml:space="preserve"> </w:t>
            </w:r>
            <w:proofErr w:type="spellStart"/>
            <w:r w:rsidRPr="007C3E0E">
              <w:rPr>
                <w:rFonts w:ascii="Verdana" w:hAnsi="Verdana"/>
              </w:rPr>
              <w:t>equiv</w:t>
            </w:r>
            <w:proofErr w:type="spellEnd"/>
            <w:r w:rsidRPr="007C3E0E">
              <w:rPr>
                <w:rFonts w:ascii="Verdana" w:hAnsi="Verdana"/>
              </w:rPr>
              <w:t>) oral suspension has launched at a limited price reduction vs brand.</w:t>
            </w:r>
          </w:p>
          <w:p w14:paraId="5B5EBAC5" w14:textId="05758A6F" w:rsidR="00E031F4" w:rsidRPr="006547A2" w:rsidRDefault="00E031F4" w:rsidP="00E031F4">
            <w:pPr>
              <w:rPr>
                <w:rFonts w:ascii="Verdana" w:hAnsi="Verdana"/>
              </w:rPr>
            </w:pPr>
          </w:p>
        </w:tc>
        <w:tc>
          <w:tcPr>
            <w:tcW w:w="4135" w:type="dxa"/>
            <w:shd w:val="clear" w:color="auto" w:fill="auto"/>
          </w:tcPr>
          <w:p w14:paraId="3F6C1021" w14:textId="77777777" w:rsidR="00E031F4" w:rsidRPr="00AB1A50" w:rsidRDefault="00E031F4" w:rsidP="00E031F4">
            <w:pPr>
              <w:rPr>
                <w:rFonts w:ascii="Verdana" w:hAnsi="Verdana"/>
              </w:rPr>
            </w:pPr>
            <w:r w:rsidRPr="00AB1A50">
              <w:rPr>
                <w:rFonts w:ascii="Verdana" w:hAnsi="Verdana"/>
              </w:rPr>
              <w:t>NF</w:t>
            </w:r>
            <w:r>
              <w:rPr>
                <w:rFonts w:ascii="Verdana" w:hAnsi="Verdana"/>
              </w:rPr>
              <w:t>:</w:t>
            </w:r>
            <w:r w:rsidRPr="00AB1A50">
              <w:rPr>
                <w:rFonts w:ascii="Verdana" w:hAnsi="Verdana"/>
              </w:rPr>
              <w:t xml:space="preserve"> all lines of business</w:t>
            </w:r>
          </w:p>
          <w:p w14:paraId="5C2FED0F" w14:textId="77777777" w:rsidR="00E031F4" w:rsidRPr="006547A2" w:rsidRDefault="00E031F4" w:rsidP="00E031F4">
            <w:pPr>
              <w:rPr>
                <w:rFonts w:ascii="Verdana" w:hAnsi="Verdana"/>
              </w:rPr>
            </w:pPr>
          </w:p>
        </w:tc>
      </w:tr>
      <w:tr w:rsidR="00E031F4" w:rsidRPr="006547A2" w14:paraId="5BFD520E" w14:textId="77777777" w:rsidTr="001C6EB3">
        <w:tc>
          <w:tcPr>
            <w:tcW w:w="2520" w:type="dxa"/>
            <w:shd w:val="clear" w:color="auto" w:fill="auto"/>
          </w:tcPr>
          <w:p w14:paraId="7D0EB193" w14:textId="77777777" w:rsidR="009530F9" w:rsidRPr="007C3E0E" w:rsidRDefault="009530F9" w:rsidP="009530F9">
            <w:pPr>
              <w:rPr>
                <w:rFonts w:ascii="Verdana" w:hAnsi="Verdana"/>
                <w:color w:val="000000"/>
              </w:rPr>
            </w:pPr>
            <w:proofErr w:type="spellStart"/>
            <w:r w:rsidRPr="007C3E0E">
              <w:rPr>
                <w:rFonts w:ascii="Verdana" w:hAnsi="Verdana"/>
                <w:color w:val="000000"/>
              </w:rPr>
              <w:t>Zylet</w:t>
            </w:r>
            <w:proofErr w:type="spellEnd"/>
            <w:r w:rsidRPr="007C3E0E">
              <w:rPr>
                <w:rFonts w:ascii="Verdana" w:hAnsi="Verdana"/>
                <w:color w:val="000000"/>
              </w:rPr>
              <w:t xml:space="preserve"> (</w:t>
            </w:r>
            <w:r w:rsidRPr="007C3E0E">
              <w:rPr>
                <w:rFonts w:ascii="Verdana" w:hAnsi="Verdana"/>
                <w:b/>
                <w:bCs/>
                <w:color w:val="000000"/>
              </w:rPr>
              <w:t>loteprednol-tobramycin</w:t>
            </w:r>
            <w:r w:rsidRPr="007C3E0E">
              <w:rPr>
                <w:rFonts w:ascii="Verdana" w:hAnsi="Verdana"/>
                <w:color w:val="000000"/>
              </w:rPr>
              <w:t>) 0.5-0.3% ophthalmic suspension antibiotic &amp; corticosteroid combo for ocular conditions</w:t>
            </w:r>
          </w:p>
          <w:p w14:paraId="008BA9B7" w14:textId="53DF3930" w:rsidR="00E031F4" w:rsidRPr="006547A2" w:rsidRDefault="00E031F4" w:rsidP="00E031F4">
            <w:pPr>
              <w:rPr>
                <w:rFonts w:ascii="Verdana" w:hAnsi="Verdana" w:cs="Arial"/>
              </w:rPr>
            </w:pPr>
          </w:p>
        </w:tc>
        <w:tc>
          <w:tcPr>
            <w:tcW w:w="4262" w:type="dxa"/>
            <w:shd w:val="clear" w:color="auto" w:fill="auto"/>
          </w:tcPr>
          <w:p w14:paraId="05EB44EA" w14:textId="77777777" w:rsidR="009530F9" w:rsidRPr="007C3E0E" w:rsidRDefault="009530F9" w:rsidP="009530F9">
            <w:pPr>
              <w:rPr>
                <w:rFonts w:ascii="Verdana" w:hAnsi="Verdana"/>
              </w:rPr>
            </w:pPr>
            <w:r w:rsidRPr="007C3E0E">
              <w:rPr>
                <w:rFonts w:ascii="Verdana" w:hAnsi="Verdana"/>
              </w:rPr>
              <w:t>Loteprednol/tobramycin recently had a generic launch.</w:t>
            </w:r>
          </w:p>
          <w:p w14:paraId="08FA9272" w14:textId="78AE59BD" w:rsidR="00E031F4" w:rsidRPr="006547A2" w:rsidRDefault="00E031F4" w:rsidP="00E031F4">
            <w:pPr>
              <w:rPr>
                <w:rFonts w:ascii="Verdana" w:hAnsi="Verdana"/>
              </w:rPr>
            </w:pPr>
          </w:p>
        </w:tc>
        <w:tc>
          <w:tcPr>
            <w:tcW w:w="4135" w:type="dxa"/>
            <w:shd w:val="clear" w:color="auto" w:fill="auto"/>
          </w:tcPr>
          <w:p w14:paraId="5161A80D" w14:textId="77777777" w:rsidR="00E031F4" w:rsidRPr="00AB1A50" w:rsidRDefault="00E031F4" w:rsidP="00E031F4">
            <w:pPr>
              <w:rPr>
                <w:rFonts w:ascii="Verdana" w:hAnsi="Verdana"/>
              </w:rPr>
            </w:pPr>
            <w:r w:rsidRPr="00AB1A50">
              <w:rPr>
                <w:rFonts w:ascii="Verdana" w:hAnsi="Verdana"/>
              </w:rPr>
              <w:t>NF</w:t>
            </w:r>
            <w:r>
              <w:rPr>
                <w:rFonts w:ascii="Verdana" w:hAnsi="Verdana"/>
              </w:rPr>
              <w:t>:</w:t>
            </w:r>
            <w:r w:rsidRPr="00AB1A50">
              <w:rPr>
                <w:rFonts w:ascii="Verdana" w:hAnsi="Verdana"/>
              </w:rPr>
              <w:t xml:space="preserve"> all lines of business</w:t>
            </w:r>
          </w:p>
          <w:p w14:paraId="0FD0E567" w14:textId="7130906D" w:rsidR="00E031F4" w:rsidRPr="006547A2" w:rsidRDefault="00E031F4" w:rsidP="00E031F4">
            <w:pPr>
              <w:rPr>
                <w:rFonts w:ascii="Verdana" w:hAnsi="Verdana"/>
              </w:rPr>
            </w:pPr>
          </w:p>
        </w:tc>
      </w:tr>
      <w:tr w:rsidR="00E031F4" w:rsidRPr="006547A2" w14:paraId="1EE88C20" w14:textId="77777777" w:rsidTr="001C6EB3">
        <w:tc>
          <w:tcPr>
            <w:tcW w:w="2520" w:type="dxa"/>
            <w:shd w:val="clear" w:color="auto" w:fill="auto"/>
          </w:tcPr>
          <w:p w14:paraId="1AE267F2" w14:textId="77777777" w:rsidR="009530F9" w:rsidRPr="007C3E0E" w:rsidRDefault="009530F9" w:rsidP="009530F9">
            <w:pPr>
              <w:rPr>
                <w:rFonts w:ascii="Verdana" w:hAnsi="Verdana"/>
                <w:color w:val="000000"/>
              </w:rPr>
            </w:pPr>
            <w:r w:rsidRPr="007C3E0E">
              <w:rPr>
                <w:rFonts w:ascii="Verdana" w:hAnsi="Verdana"/>
                <w:color w:val="000000"/>
              </w:rPr>
              <w:t>Besivance (</w:t>
            </w:r>
            <w:r w:rsidRPr="007C3E0E">
              <w:rPr>
                <w:rFonts w:ascii="Verdana" w:hAnsi="Verdana"/>
                <w:b/>
                <w:bCs/>
                <w:color w:val="000000"/>
              </w:rPr>
              <w:t>besifloxacin</w:t>
            </w:r>
            <w:r w:rsidRPr="007C3E0E">
              <w:rPr>
                <w:rFonts w:ascii="Verdana" w:hAnsi="Verdana"/>
                <w:color w:val="000000"/>
              </w:rPr>
              <w:t>) 0.6% ophthalmic suspension for bacterial conjunctivitis</w:t>
            </w:r>
          </w:p>
          <w:p w14:paraId="347F1E2C" w14:textId="35A1D8C7" w:rsidR="00E031F4" w:rsidRPr="006547A2" w:rsidRDefault="00E031F4" w:rsidP="00E031F4">
            <w:pPr>
              <w:rPr>
                <w:rFonts w:ascii="Verdana" w:hAnsi="Verdana" w:cs="Arial"/>
              </w:rPr>
            </w:pPr>
          </w:p>
        </w:tc>
        <w:tc>
          <w:tcPr>
            <w:tcW w:w="4262" w:type="dxa"/>
            <w:shd w:val="clear" w:color="auto" w:fill="auto"/>
          </w:tcPr>
          <w:p w14:paraId="68C9B792" w14:textId="77777777" w:rsidR="009530F9" w:rsidRPr="007C3E0E" w:rsidRDefault="009530F9" w:rsidP="009530F9">
            <w:pPr>
              <w:rPr>
                <w:rFonts w:ascii="Verdana" w:hAnsi="Verdana"/>
              </w:rPr>
            </w:pPr>
            <w:r w:rsidRPr="007C3E0E">
              <w:rPr>
                <w:rFonts w:ascii="Verdana" w:hAnsi="Verdana"/>
              </w:rPr>
              <w:t>Besifloxacin had a recent AG launch which was accompanied by a limited price decrease.</w:t>
            </w:r>
          </w:p>
          <w:p w14:paraId="0BB53CB4" w14:textId="109ADCFC" w:rsidR="00E031F4" w:rsidRPr="006547A2" w:rsidRDefault="00E031F4" w:rsidP="00E031F4">
            <w:pPr>
              <w:rPr>
                <w:rFonts w:ascii="Verdana" w:hAnsi="Verdana"/>
              </w:rPr>
            </w:pPr>
          </w:p>
        </w:tc>
        <w:tc>
          <w:tcPr>
            <w:tcW w:w="4135" w:type="dxa"/>
            <w:shd w:val="clear" w:color="auto" w:fill="auto"/>
          </w:tcPr>
          <w:p w14:paraId="1350D869" w14:textId="6A790DAF" w:rsidR="009530F9" w:rsidRPr="007C3E0E" w:rsidRDefault="009530F9" w:rsidP="009530F9">
            <w:pPr>
              <w:tabs>
                <w:tab w:val="left" w:pos="930"/>
              </w:tabs>
              <w:rPr>
                <w:rFonts w:ascii="Verdana" w:hAnsi="Verdana"/>
              </w:rPr>
            </w:pPr>
            <w:r w:rsidRPr="007C3E0E">
              <w:rPr>
                <w:rFonts w:ascii="Verdana" w:hAnsi="Verdana"/>
              </w:rPr>
              <w:t>NF:</w:t>
            </w:r>
            <w:r>
              <w:rPr>
                <w:rFonts w:ascii="Verdana" w:hAnsi="Verdana"/>
              </w:rPr>
              <w:t xml:space="preserve"> </w:t>
            </w:r>
            <w:r w:rsidRPr="007C3E0E">
              <w:rPr>
                <w:rFonts w:ascii="Verdana" w:hAnsi="Verdana"/>
              </w:rPr>
              <w:t>MA</w:t>
            </w:r>
          </w:p>
          <w:p w14:paraId="1F8AE766" w14:textId="77777777" w:rsidR="009530F9" w:rsidRPr="007C3E0E" w:rsidRDefault="009530F9" w:rsidP="009530F9">
            <w:pPr>
              <w:tabs>
                <w:tab w:val="left" w:pos="930"/>
              </w:tabs>
              <w:rPr>
                <w:rFonts w:ascii="Verdana" w:hAnsi="Verdana"/>
              </w:rPr>
            </w:pPr>
            <w:r w:rsidRPr="007C3E0E">
              <w:rPr>
                <w:rFonts w:ascii="Verdana" w:hAnsi="Verdana"/>
              </w:rPr>
              <w:t>F: IFP</w:t>
            </w:r>
          </w:p>
          <w:p w14:paraId="42E67A24" w14:textId="26092EFB" w:rsidR="00E031F4" w:rsidRPr="006547A2" w:rsidRDefault="00E031F4" w:rsidP="00E031F4">
            <w:pPr>
              <w:rPr>
                <w:rFonts w:ascii="Verdana" w:hAnsi="Verdana"/>
              </w:rPr>
            </w:pPr>
          </w:p>
        </w:tc>
      </w:tr>
    </w:tbl>
    <w:p w14:paraId="1D317A5C" w14:textId="77777777" w:rsidR="00296E12" w:rsidRPr="006547A2" w:rsidRDefault="00296E12" w:rsidP="00E32DDA">
      <w:pPr>
        <w:rPr>
          <w:rFonts w:ascii="Verdana" w:eastAsia="Times New Roman" w:hAnsi="Verdana" w:cs="Arial"/>
          <w:b/>
        </w:rPr>
      </w:pPr>
      <w:bookmarkStart w:id="1" w:name="_Hlk65757423"/>
    </w:p>
    <w:tbl>
      <w:tblPr>
        <w:tblStyle w:val="LightList-Accent5"/>
        <w:tblW w:w="10885" w:type="dxa"/>
        <w:tblInd w:w="-9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10885"/>
      </w:tblGrid>
      <w:tr w:rsidR="00255A16" w:rsidRPr="006547A2" w14:paraId="20EA93DD" w14:textId="77777777" w:rsidTr="00B65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shd w:val="clear" w:color="auto" w:fill="00205B"/>
          </w:tcPr>
          <w:p w14:paraId="299A5639" w14:textId="3A6725C7" w:rsidR="00255A16" w:rsidRPr="006547A2" w:rsidRDefault="00255A16" w:rsidP="00B65A41">
            <w:pPr>
              <w:spacing w:after="240"/>
              <w:rPr>
                <w:rFonts w:ascii="Verdana" w:eastAsia="Times New Roman" w:hAnsi="Verdana" w:cs="Arial"/>
              </w:rPr>
            </w:pPr>
            <w:r w:rsidRPr="006547A2">
              <w:rPr>
                <w:rFonts w:ascii="Verdana" w:eastAsia="Times New Roman" w:hAnsi="Verdana" w:cs="Arial"/>
              </w:rPr>
              <w:t xml:space="preserve">New or Expanded Formulations </w:t>
            </w:r>
          </w:p>
        </w:tc>
      </w:tr>
    </w:tbl>
    <w:tbl>
      <w:tblPr>
        <w:tblStyle w:val="TableGrid"/>
        <w:tblpPr w:leftFromText="180" w:rightFromText="180" w:vertAnchor="text" w:tblpX="-95" w:tblpY="1"/>
        <w:tblOverlap w:val="never"/>
        <w:tblW w:w="10917" w:type="dxa"/>
        <w:tblLook w:val="04A0" w:firstRow="1" w:lastRow="0" w:firstColumn="1" w:lastColumn="0" w:noHBand="0" w:noVBand="1"/>
      </w:tblPr>
      <w:tblGrid>
        <w:gridCol w:w="2589"/>
        <w:gridCol w:w="4232"/>
        <w:gridCol w:w="4096"/>
      </w:tblGrid>
      <w:tr w:rsidR="00255A16" w:rsidRPr="006547A2" w14:paraId="0BA472AD" w14:textId="77777777" w:rsidTr="00413044">
        <w:trPr>
          <w:trHeight w:val="566"/>
        </w:trPr>
        <w:tc>
          <w:tcPr>
            <w:tcW w:w="2589" w:type="dxa"/>
          </w:tcPr>
          <w:p w14:paraId="62373FE1" w14:textId="77777777" w:rsidR="00255A16" w:rsidRPr="006547A2" w:rsidRDefault="00255A16" w:rsidP="00413044">
            <w:pPr>
              <w:spacing w:after="240"/>
              <w:rPr>
                <w:rFonts w:ascii="Verdana" w:eastAsia="Times New Roman" w:hAnsi="Verdana" w:cs="Arial"/>
              </w:rPr>
            </w:pPr>
            <w:r w:rsidRPr="006547A2">
              <w:rPr>
                <w:rFonts w:ascii="Verdana" w:hAnsi="Verdana"/>
                <w:b/>
                <w:bCs/>
              </w:rPr>
              <w:t>Drug</w:t>
            </w:r>
          </w:p>
        </w:tc>
        <w:tc>
          <w:tcPr>
            <w:tcW w:w="4232" w:type="dxa"/>
          </w:tcPr>
          <w:p w14:paraId="7C9A7639" w14:textId="77777777" w:rsidR="00255A16" w:rsidRPr="006547A2" w:rsidRDefault="00255A16" w:rsidP="00413044">
            <w:pPr>
              <w:spacing w:after="240"/>
              <w:rPr>
                <w:rFonts w:ascii="Verdana" w:eastAsia="Times New Roman" w:hAnsi="Verdana" w:cs="Arial"/>
                <w:b/>
                <w:bCs/>
              </w:rPr>
            </w:pPr>
            <w:r w:rsidRPr="006547A2">
              <w:rPr>
                <w:rFonts w:ascii="Verdana" w:eastAsia="Times New Roman" w:hAnsi="Verdana" w:cs="Arial"/>
                <w:b/>
                <w:bCs/>
              </w:rPr>
              <w:t>Rationale/Alternative</w:t>
            </w:r>
          </w:p>
        </w:tc>
        <w:tc>
          <w:tcPr>
            <w:tcW w:w="4096" w:type="dxa"/>
          </w:tcPr>
          <w:p w14:paraId="4CB66098" w14:textId="77777777" w:rsidR="00255A16" w:rsidRPr="006547A2" w:rsidRDefault="00255A16" w:rsidP="00413044">
            <w:pPr>
              <w:spacing w:after="240"/>
              <w:rPr>
                <w:rFonts w:ascii="Verdana" w:eastAsia="Times New Roman" w:hAnsi="Verdana" w:cs="Arial"/>
              </w:rPr>
            </w:pPr>
            <w:r w:rsidRPr="006547A2">
              <w:rPr>
                <w:rFonts w:ascii="Verdana" w:hAnsi="Verdana"/>
                <w:b/>
              </w:rPr>
              <w:t>Recommendation</w:t>
            </w:r>
          </w:p>
        </w:tc>
      </w:tr>
      <w:tr w:rsidR="00E031F4" w:rsidRPr="006547A2" w14:paraId="2DEE45DB" w14:textId="77777777" w:rsidTr="00413044">
        <w:tc>
          <w:tcPr>
            <w:tcW w:w="2589" w:type="dxa"/>
            <w:shd w:val="clear" w:color="auto" w:fill="auto"/>
          </w:tcPr>
          <w:p w14:paraId="74315D39" w14:textId="77777777" w:rsidR="009530F9" w:rsidRPr="00B77B6F" w:rsidRDefault="009530F9" w:rsidP="009530F9">
            <w:pPr>
              <w:rPr>
                <w:rFonts w:ascii="Verdana" w:hAnsi="Verdana"/>
              </w:rPr>
            </w:pPr>
            <w:proofErr w:type="spellStart"/>
            <w:r w:rsidRPr="00B77B6F">
              <w:rPr>
                <w:rFonts w:ascii="Verdana" w:hAnsi="Verdana"/>
                <w:b/>
                <w:bCs/>
              </w:rPr>
              <w:t>Leqembi</w:t>
            </w:r>
            <w:proofErr w:type="spellEnd"/>
            <w:r w:rsidRPr="00B77B6F">
              <w:rPr>
                <w:rFonts w:ascii="Verdana" w:hAnsi="Verdana"/>
                <w:b/>
                <w:bCs/>
              </w:rPr>
              <w:t xml:space="preserve"> </w:t>
            </w:r>
            <w:proofErr w:type="spellStart"/>
            <w:r w:rsidRPr="00B77B6F">
              <w:rPr>
                <w:rFonts w:ascii="Verdana" w:hAnsi="Verdana"/>
                <w:b/>
                <w:bCs/>
              </w:rPr>
              <w:t>Iqlik</w:t>
            </w:r>
            <w:proofErr w:type="spellEnd"/>
            <w:r w:rsidRPr="00B77B6F">
              <w:rPr>
                <w:rFonts w:ascii="Verdana" w:hAnsi="Verdana"/>
                <w:b/>
                <w:bCs/>
              </w:rPr>
              <w:t xml:space="preserve"> </w:t>
            </w:r>
            <w:r w:rsidRPr="00B77B6F">
              <w:rPr>
                <w:rFonts w:ascii="Verdana" w:hAnsi="Verdana"/>
              </w:rPr>
              <w:t>(</w:t>
            </w:r>
            <w:proofErr w:type="spellStart"/>
            <w:r w:rsidRPr="00B77B6F">
              <w:rPr>
                <w:rFonts w:ascii="Verdana" w:hAnsi="Verdana"/>
              </w:rPr>
              <w:t>lecanemab</w:t>
            </w:r>
            <w:proofErr w:type="spellEnd"/>
            <w:r w:rsidRPr="00B77B6F">
              <w:rPr>
                <w:rFonts w:ascii="Verdana" w:hAnsi="Verdana"/>
              </w:rPr>
              <w:t xml:space="preserve">) 360 </w:t>
            </w:r>
            <w:r w:rsidRPr="00B77B6F">
              <w:rPr>
                <w:rFonts w:ascii="Verdana" w:hAnsi="Verdana"/>
              </w:rPr>
              <w:lastRenderedPageBreak/>
              <w:t>mg/1.8 mL autoinjector for Alzheimer disease</w:t>
            </w:r>
          </w:p>
          <w:p w14:paraId="3ED006F4" w14:textId="7900FF97" w:rsidR="00E031F4" w:rsidRPr="00876AB4" w:rsidRDefault="00E031F4" w:rsidP="00413044">
            <w:pPr>
              <w:rPr>
                <w:rFonts w:ascii="Verdana" w:hAnsi="Verdana" w:cs="Arial"/>
              </w:rPr>
            </w:pPr>
          </w:p>
        </w:tc>
        <w:tc>
          <w:tcPr>
            <w:tcW w:w="4232" w:type="dxa"/>
            <w:shd w:val="clear" w:color="auto" w:fill="auto"/>
          </w:tcPr>
          <w:p w14:paraId="60D1016D" w14:textId="77777777" w:rsidR="009530F9" w:rsidRPr="00B77B6F" w:rsidRDefault="009530F9" w:rsidP="009530F9">
            <w:pPr>
              <w:rPr>
                <w:rFonts w:ascii="Verdana" w:hAnsi="Verdana"/>
              </w:rPr>
            </w:pPr>
            <w:proofErr w:type="spellStart"/>
            <w:r w:rsidRPr="00B77B6F">
              <w:rPr>
                <w:rFonts w:ascii="Verdana" w:hAnsi="Verdana"/>
              </w:rPr>
              <w:lastRenderedPageBreak/>
              <w:t>Lecanemab</w:t>
            </w:r>
            <w:proofErr w:type="spellEnd"/>
            <w:r w:rsidRPr="00B77B6F">
              <w:rPr>
                <w:rFonts w:ascii="Verdana" w:hAnsi="Verdana"/>
              </w:rPr>
              <w:t xml:space="preserve"> is now available as a SQ autoinjector approved for </w:t>
            </w:r>
            <w:r w:rsidRPr="00B77B6F">
              <w:rPr>
                <w:rFonts w:ascii="Verdana" w:hAnsi="Verdana"/>
              </w:rPr>
              <w:lastRenderedPageBreak/>
              <w:t xml:space="preserve">weekly maintenance treatment of Alzheimer disease following the completion of at least 18 months of IV treatment. SQ </w:t>
            </w:r>
            <w:proofErr w:type="spellStart"/>
            <w:r w:rsidRPr="00B77B6F">
              <w:rPr>
                <w:rFonts w:ascii="Verdana" w:hAnsi="Verdana"/>
              </w:rPr>
              <w:t>lecanemab</w:t>
            </w:r>
            <w:proofErr w:type="spellEnd"/>
            <w:r w:rsidRPr="00B77B6F">
              <w:rPr>
                <w:rFonts w:ascii="Verdana" w:hAnsi="Verdana"/>
              </w:rPr>
              <w:t xml:space="preserve"> can be administered by the patient or caregiver, allowing for at-home administration.</w:t>
            </w:r>
          </w:p>
          <w:p w14:paraId="2F5851F7" w14:textId="07CCE289" w:rsidR="00E031F4" w:rsidRPr="006547A2" w:rsidRDefault="00E031F4" w:rsidP="00413044">
            <w:pPr>
              <w:rPr>
                <w:rFonts w:ascii="Verdana" w:hAnsi="Verdana"/>
              </w:rPr>
            </w:pPr>
          </w:p>
        </w:tc>
        <w:tc>
          <w:tcPr>
            <w:tcW w:w="4096" w:type="dxa"/>
            <w:shd w:val="clear" w:color="auto" w:fill="auto"/>
          </w:tcPr>
          <w:p w14:paraId="202FA591" w14:textId="14C11371" w:rsidR="00E031F4" w:rsidRPr="004D3445" w:rsidRDefault="009530F9" w:rsidP="00413044">
            <w:pPr>
              <w:rPr>
                <w:rFonts w:ascii="Verdana" w:hAnsi="Verdana"/>
              </w:rPr>
            </w:pPr>
            <w:r>
              <w:rPr>
                <w:rFonts w:ascii="Verdana" w:hAnsi="Verdana"/>
              </w:rPr>
              <w:lastRenderedPageBreak/>
              <w:t>N</w:t>
            </w:r>
            <w:r w:rsidR="00E031F4" w:rsidRPr="004D3445">
              <w:rPr>
                <w:rFonts w:ascii="Verdana" w:hAnsi="Verdana"/>
              </w:rPr>
              <w:t>F: all lines of business</w:t>
            </w:r>
          </w:p>
          <w:p w14:paraId="6A4D2E18" w14:textId="520B11D9" w:rsidR="00E031F4" w:rsidRPr="006547A2" w:rsidRDefault="00E031F4" w:rsidP="00413044">
            <w:pPr>
              <w:rPr>
                <w:rFonts w:ascii="Verdana" w:hAnsi="Verdana"/>
              </w:rPr>
            </w:pPr>
          </w:p>
        </w:tc>
      </w:tr>
      <w:tr w:rsidR="00E031F4" w:rsidRPr="006547A2" w14:paraId="112DD9CA" w14:textId="77777777" w:rsidTr="00413044">
        <w:tc>
          <w:tcPr>
            <w:tcW w:w="2589" w:type="dxa"/>
            <w:shd w:val="clear" w:color="auto" w:fill="auto"/>
          </w:tcPr>
          <w:p w14:paraId="5ECC2EFF" w14:textId="77777777" w:rsidR="009530F9" w:rsidRPr="00B77B6F" w:rsidRDefault="009530F9" w:rsidP="009530F9">
            <w:pPr>
              <w:rPr>
                <w:rFonts w:ascii="Verdana" w:hAnsi="Verdana"/>
              </w:rPr>
            </w:pPr>
            <w:r w:rsidRPr="00B77B6F">
              <w:rPr>
                <w:rFonts w:ascii="Verdana" w:hAnsi="Verdana"/>
                <w:b/>
                <w:bCs/>
              </w:rPr>
              <w:t>Pazopanib</w:t>
            </w:r>
            <w:r w:rsidRPr="00B77B6F">
              <w:rPr>
                <w:rFonts w:ascii="Verdana" w:hAnsi="Verdana"/>
              </w:rPr>
              <w:t xml:space="preserve"> 400 mg tablets for renal cell carcinoma &amp; soft tissue sarcoma</w:t>
            </w:r>
          </w:p>
          <w:p w14:paraId="5F98A3E2" w14:textId="0E10BE17" w:rsidR="00E031F4" w:rsidRPr="006547A2" w:rsidRDefault="00E031F4" w:rsidP="00413044">
            <w:pPr>
              <w:rPr>
                <w:rFonts w:ascii="Verdana" w:hAnsi="Verdana" w:cs="Arial"/>
              </w:rPr>
            </w:pPr>
          </w:p>
        </w:tc>
        <w:tc>
          <w:tcPr>
            <w:tcW w:w="4232" w:type="dxa"/>
            <w:shd w:val="clear" w:color="auto" w:fill="auto"/>
          </w:tcPr>
          <w:p w14:paraId="749DE7C4" w14:textId="77777777" w:rsidR="009530F9" w:rsidRPr="00B77B6F" w:rsidRDefault="009530F9" w:rsidP="009530F9">
            <w:pPr>
              <w:rPr>
                <w:rFonts w:ascii="Verdana" w:hAnsi="Verdana"/>
              </w:rPr>
            </w:pPr>
            <w:r w:rsidRPr="00B77B6F">
              <w:rPr>
                <w:rFonts w:ascii="Verdana" w:hAnsi="Verdana"/>
              </w:rPr>
              <w:t xml:space="preserve">A 400 mg strength of pazopanib recently launched in </w:t>
            </w:r>
            <w:proofErr w:type="spellStart"/>
            <w:r w:rsidRPr="00B77B6F">
              <w:rPr>
                <w:rFonts w:ascii="Verdana" w:hAnsi="Verdana"/>
              </w:rPr>
              <w:t>Medispan</w:t>
            </w:r>
            <w:proofErr w:type="spellEnd"/>
            <w:r w:rsidRPr="00B77B6F">
              <w:rPr>
                <w:rFonts w:ascii="Verdana" w:hAnsi="Verdana"/>
              </w:rPr>
              <w:t>. Pazopanib (</w:t>
            </w:r>
            <w:proofErr w:type="spellStart"/>
            <w:r w:rsidRPr="00B77B6F">
              <w:rPr>
                <w:rFonts w:ascii="Verdana" w:hAnsi="Verdana"/>
              </w:rPr>
              <w:t>Votrient</w:t>
            </w:r>
            <w:proofErr w:type="spellEnd"/>
            <w:r w:rsidRPr="00B77B6F">
              <w:rPr>
                <w:rFonts w:ascii="Verdana" w:hAnsi="Verdana"/>
              </w:rPr>
              <w:t xml:space="preserve"> </w:t>
            </w:r>
            <w:proofErr w:type="spellStart"/>
            <w:r w:rsidRPr="00B77B6F">
              <w:rPr>
                <w:rFonts w:ascii="Verdana" w:hAnsi="Verdana"/>
              </w:rPr>
              <w:t>equiv</w:t>
            </w:r>
            <w:proofErr w:type="spellEnd"/>
            <w:r w:rsidRPr="00B77B6F">
              <w:rPr>
                <w:rFonts w:ascii="Verdana" w:hAnsi="Verdana"/>
              </w:rPr>
              <w:t xml:space="preserve">) is generically available as 200 mg tablets which are covered on formulary and have MAC pricing. </w:t>
            </w:r>
          </w:p>
          <w:p w14:paraId="7DD3FADA" w14:textId="1A21E268" w:rsidR="00E031F4" w:rsidRPr="006547A2" w:rsidRDefault="00E031F4" w:rsidP="00413044">
            <w:pPr>
              <w:rPr>
                <w:rFonts w:ascii="Verdana" w:hAnsi="Verdana"/>
              </w:rPr>
            </w:pPr>
          </w:p>
        </w:tc>
        <w:tc>
          <w:tcPr>
            <w:tcW w:w="4096" w:type="dxa"/>
            <w:shd w:val="clear" w:color="auto" w:fill="auto"/>
          </w:tcPr>
          <w:p w14:paraId="2C8DDB6D" w14:textId="77777777" w:rsidR="00E031F4" w:rsidRPr="00C61183" w:rsidRDefault="00E031F4" w:rsidP="00413044">
            <w:pPr>
              <w:rPr>
                <w:rFonts w:ascii="Verdana" w:hAnsi="Verdana"/>
              </w:rPr>
            </w:pPr>
            <w:r w:rsidRPr="00C61183">
              <w:rPr>
                <w:rFonts w:ascii="Verdana" w:hAnsi="Verdana"/>
              </w:rPr>
              <w:t>NF: all lines of business</w:t>
            </w:r>
          </w:p>
          <w:p w14:paraId="484B70A9" w14:textId="365A3A78" w:rsidR="00E031F4" w:rsidRPr="006547A2" w:rsidRDefault="00E031F4" w:rsidP="00413044">
            <w:pPr>
              <w:rPr>
                <w:rFonts w:ascii="Verdana" w:hAnsi="Verdana"/>
              </w:rPr>
            </w:pPr>
          </w:p>
        </w:tc>
      </w:tr>
      <w:tr w:rsidR="00E031F4" w:rsidRPr="006547A2" w14:paraId="2727C4DE" w14:textId="77777777" w:rsidTr="00413044">
        <w:tc>
          <w:tcPr>
            <w:tcW w:w="2589" w:type="dxa"/>
            <w:shd w:val="clear" w:color="auto" w:fill="auto"/>
          </w:tcPr>
          <w:p w14:paraId="322D3007" w14:textId="77777777" w:rsidR="009530F9" w:rsidRPr="00B77B6F" w:rsidRDefault="009530F9" w:rsidP="009530F9">
            <w:pPr>
              <w:rPr>
                <w:rFonts w:ascii="Verdana" w:hAnsi="Verdana"/>
                <w:color w:val="000000"/>
              </w:rPr>
            </w:pPr>
            <w:proofErr w:type="spellStart"/>
            <w:r w:rsidRPr="00B77B6F">
              <w:rPr>
                <w:rFonts w:ascii="Verdana" w:hAnsi="Verdana"/>
                <w:b/>
                <w:bCs/>
                <w:color w:val="000000"/>
              </w:rPr>
              <w:t>Subvenite</w:t>
            </w:r>
            <w:proofErr w:type="spellEnd"/>
            <w:r w:rsidRPr="00B77B6F">
              <w:rPr>
                <w:rFonts w:ascii="Verdana" w:hAnsi="Verdana"/>
                <w:color w:val="000000"/>
              </w:rPr>
              <w:t xml:space="preserve"> (lamotrigine) 10 mg/mL oral suspension for epilepsy &amp; bipolar disorder</w:t>
            </w:r>
          </w:p>
          <w:p w14:paraId="4F625DB5" w14:textId="6FA2E00C" w:rsidR="00E031F4" w:rsidRPr="006547A2" w:rsidRDefault="00E031F4" w:rsidP="00413044">
            <w:pPr>
              <w:rPr>
                <w:rFonts w:ascii="Verdana" w:hAnsi="Verdana" w:cs="Arial"/>
              </w:rPr>
            </w:pPr>
          </w:p>
        </w:tc>
        <w:tc>
          <w:tcPr>
            <w:tcW w:w="4232" w:type="dxa"/>
            <w:shd w:val="clear" w:color="auto" w:fill="auto"/>
          </w:tcPr>
          <w:p w14:paraId="5572A1D7" w14:textId="77777777" w:rsidR="009530F9" w:rsidRPr="00B77B6F" w:rsidRDefault="009530F9" w:rsidP="009530F9">
            <w:pPr>
              <w:rPr>
                <w:rFonts w:ascii="Verdana" w:hAnsi="Verdana"/>
              </w:rPr>
            </w:pPr>
            <w:proofErr w:type="spellStart"/>
            <w:r w:rsidRPr="00B77B6F">
              <w:rPr>
                <w:rFonts w:ascii="Verdana" w:hAnsi="Verdana"/>
              </w:rPr>
              <w:t>Subvenite</w:t>
            </w:r>
            <w:proofErr w:type="spellEnd"/>
            <w:r w:rsidRPr="00B77B6F">
              <w:rPr>
                <w:rFonts w:ascii="Verdana" w:hAnsi="Verdana"/>
              </w:rPr>
              <w:t xml:space="preserve"> suspension is the first liquid formulation of lamotrigine to market, though generic ODT and chewable/dispersible tablets exist. A 1 mg/mL solution was previously commonly compounded with </w:t>
            </w:r>
            <w:proofErr w:type="gramStart"/>
            <w:r w:rsidRPr="00B77B6F">
              <w:rPr>
                <w:rFonts w:ascii="Verdana" w:hAnsi="Verdana"/>
              </w:rPr>
              <w:t>the IR</w:t>
            </w:r>
            <w:proofErr w:type="gramEnd"/>
            <w:r w:rsidRPr="00B77B6F">
              <w:rPr>
                <w:rFonts w:ascii="Verdana" w:hAnsi="Verdana"/>
              </w:rPr>
              <w:t xml:space="preserve"> tablets which are very low cost. </w:t>
            </w:r>
            <w:proofErr w:type="spellStart"/>
            <w:r w:rsidRPr="00B77B6F">
              <w:rPr>
                <w:rFonts w:ascii="Verdana" w:hAnsi="Verdana"/>
              </w:rPr>
              <w:t>Subvenite</w:t>
            </w:r>
            <w:proofErr w:type="spellEnd"/>
            <w:r w:rsidRPr="00B77B6F">
              <w:rPr>
                <w:rFonts w:ascii="Verdana" w:hAnsi="Verdana"/>
              </w:rPr>
              <w:t xml:space="preserve"> is $3/mL or $0.30 per mg. </w:t>
            </w:r>
          </w:p>
          <w:p w14:paraId="0BB1CFDC" w14:textId="79778CF5" w:rsidR="00E031F4" w:rsidRPr="006547A2" w:rsidRDefault="00E031F4" w:rsidP="00413044">
            <w:pPr>
              <w:rPr>
                <w:rFonts w:ascii="Verdana" w:hAnsi="Verdana"/>
              </w:rPr>
            </w:pPr>
          </w:p>
        </w:tc>
        <w:tc>
          <w:tcPr>
            <w:tcW w:w="4096" w:type="dxa"/>
            <w:shd w:val="clear" w:color="auto" w:fill="auto"/>
          </w:tcPr>
          <w:p w14:paraId="31121B5C" w14:textId="77777777" w:rsidR="00E031F4" w:rsidRPr="00C61183" w:rsidRDefault="00E031F4" w:rsidP="00413044">
            <w:pPr>
              <w:rPr>
                <w:rFonts w:ascii="Verdana" w:hAnsi="Verdana"/>
              </w:rPr>
            </w:pPr>
            <w:r w:rsidRPr="00C61183">
              <w:rPr>
                <w:rFonts w:ascii="Verdana" w:hAnsi="Verdana"/>
              </w:rPr>
              <w:t>F: all lines of business</w:t>
            </w:r>
          </w:p>
          <w:p w14:paraId="3F7FDC00" w14:textId="3E81D5C0" w:rsidR="00E031F4" w:rsidRPr="006547A2" w:rsidRDefault="00E031F4" w:rsidP="00413044">
            <w:pPr>
              <w:rPr>
                <w:rFonts w:ascii="Verdana" w:hAnsi="Verdana"/>
              </w:rPr>
            </w:pPr>
          </w:p>
        </w:tc>
      </w:tr>
      <w:tr w:rsidR="00E031F4" w:rsidRPr="006547A2" w14:paraId="60F4F90A" w14:textId="77777777" w:rsidTr="00413044">
        <w:tc>
          <w:tcPr>
            <w:tcW w:w="2589" w:type="dxa"/>
            <w:shd w:val="clear" w:color="auto" w:fill="auto"/>
          </w:tcPr>
          <w:p w14:paraId="20429167" w14:textId="77777777" w:rsidR="009530F9" w:rsidRPr="00B77B6F" w:rsidRDefault="009530F9" w:rsidP="009530F9">
            <w:pPr>
              <w:rPr>
                <w:rFonts w:ascii="Verdana" w:hAnsi="Verdana"/>
                <w:color w:val="000000"/>
              </w:rPr>
            </w:pPr>
            <w:r w:rsidRPr="00B77B6F">
              <w:rPr>
                <w:rFonts w:ascii="Verdana" w:hAnsi="Verdana"/>
                <w:b/>
                <w:bCs/>
                <w:color w:val="000000"/>
              </w:rPr>
              <w:t xml:space="preserve">Tyvaso DPI </w:t>
            </w:r>
            <w:r w:rsidRPr="00B77B6F">
              <w:rPr>
                <w:rFonts w:ascii="Verdana" w:hAnsi="Verdana"/>
                <w:color w:val="000000"/>
              </w:rPr>
              <w:t>(</w:t>
            </w:r>
            <w:proofErr w:type="spellStart"/>
            <w:r w:rsidRPr="00B77B6F">
              <w:rPr>
                <w:rFonts w:ascii="Verdana" w:hAnsi="Verdana"/>
                <w:color w:val="000000"/>
              </w:rPr>
              <w:t>treprostinil</w:t>
            </w:r>
            <w:proofErr w:type="spellEnd"/>
            <w:r w:rsidRPr="00B77B6F">
              <w:rPr>
                <w:rFonts w:ascii="Verdana" w:hAnsi="Verdana"/>
                <w:color w:val="000000"/>
              </w:rPr>
              <w:t>) 80 mcg, 32/64 mcg, &amp; 48/64 mcg powder cartridge maintenance kits for pulmonary arterial hypertension</w:t>
            </w:r>
          </w:p>
          <w:p w14:paraId="109B646E" w14:textId="633D3DF7" w:rsidR="00E031F4" w:rsidRPr="006547A2" w:rsidRDefault="00E031F4" w:rsidP="00413044">
            <w:pPr>
              <w:rPr>
                <w:rFonts w:ascii="Verdana" w:hAnsi="Verdana" w:cs="Arial"/>
              </w:rPr>
            </w:pPr>
          </w:p>
        </w:tc>
        <w:tc>
          <w:tcPr>
            <w:tcW w:w="4232" w:type="dxa"/>
            <w:shd w:val="clear" w:color="auto" w:fill="auto"/>
          </w:tcPr>
          <w:p w14:paraId="0B5D048A" w14:textId="77777777" w:rsidR="009530F9" w:rsidRPr="00B77B6F" w:rsidRDefault="009530F9" w:rsidP="009530F9">
            <w:pPr>
              <w:rPr>
                <w:rFonts w:ascii="Verdana" w:hAnsi="Verdana"/>
              </w:rPr>
            </w:pPr>
            <w:r w:rsidRPr="00B77B6F">
              <w:rPr>
                <w:rFonts w:ascii="Verdana" w:hAnsi="Verdana"/>
              </w:rPr>
              <w:t xml:space="preserve">A new higher strength of Tyvaso DPI has launched, adding an </w:t>
            </w:r>
            <w:proofErr w:type="gramStart"/>
            <w:r w:rsidRPr="00B77B6F">
              <w:rPr>
                <w:rFonts w:ascii="Verdana" w:hAnsi="Verdana"/>
              </w:rPr>
              <w:t>80 mcg</w:t>
            </w:r>
            <w:proofErr w:type="gramEnd"/>
            <w:r w:rsidRPr="00B77B6F">
              <w:rPr>
                <w:rFonts w:ascii="Verdana" w:hAnsi="Verdana"/>
              </w:rPr>
              <w:t xml:space="preserve"> strength to the existing 16, 32, 48, and 64 mcg doses. Though the cost is notably higher ($396 vs $218) than existing strengths</w:t>
            </w:r>
          </w:p>
          <w:p w14:paraId="34689B44" w14:textId="567A3241" w:rsidR="00E031F4" w:rsidRPr="006547A2" w:rsidRDefault="00E031F4" w:rsidP="00413044">
            <w:pPr>
              <w:rPr>
                <w:rFonts w:ascii="Verdana" w:hAnsi="Verdana"/>
              </w:rPr>
            </w:pPr>
          </w:p>
        </w:tc>
        <w:tc>
          <w:tcPr>
            <w:tcW w:w="4096" w:type="dxa"/>
            <w:shd w:val="clear" w:color="auto" w:fill="auto"/>
          </w:tcPr>
          <w:p w14:paraId="486FC369" w14:textId="3E70C1C9" w:rsidR="009530F9" w:rsidRPr="00B77B6F" w:rsidRDefault="009530F9" w:rsidP="009530F9">
            <w:pPr>
              <w:rPr>
                <w:rFonts w:ascii="Verdana" w:hAnsi="Verdana"/>
              </w:rPr>
            </w:pPr>
            <w:r w:rsidRPr="00B77B6F">
              <w:rPr>
                <w:rFonts w:ascii="Verdana" w:hAnsi="Verdana"/>
              </w:rPr>
              <w:t>NF: IFP</w:t>
            </w:r>
          </w:p>
          <w:p w14:paraId="02A86100" w14:textId="77777777" w:rsidR="009530F9" w:rsidRPr="00B77B6F" w:rsidRDefault="009530F9" w:rsidP="009530F9">
            <w:pPr>
              <w:rPr>
                <w:rFonts w:ascii="Verdana" w:hAnsi="Verdana"/>
              </w:rPr>
            </w:pPr>
            <w:r w:rsidRPr="00B77B6F">
              <w:rPr>
                <w:rFonts w:ascii="Verdana" w:hAnsi="Verdana"/>
              </w:rPr>
              <w:t>NP: MA</w:t>
            </w:r>
          </w:p>
          <w:p w14:paraId="2C19483C" w14:textId="15F1FD85" w:rsidR="00E031F4" w:rsidRPr="006547A2" w:rsidRDefault="00E031F4" w:rsidP="00413044">
            <w:pPr>
              <w:rPr>
                <w:rFonts w:ascii="Verdana" w:hAnsi="Verdana"/>
              </w:rPr>
            </w:pPr>
          </w:p>
        </w:tc>
      </w:tr>
      <w:tr w:rsidR="00E031F4" w:rsidRPr="006547A2" w14:paraId="0809018C" w14:textId="77777777" w:rsidTr="00413044">
        <w:tc>
          <w:tcPr>
            <w:tcW w:w="2589" w:type="dxa"/>
            <w:shd w:val="clear" w:color="auto" w:fill="auto"/>
          </w:tcPr>
          <w:p w14:paraId="1FA9BE92" w14:textId="77777777" w:rsidR="009530F9" w:rsidRPr="00B77B6F" w:rsidRDefault="009530F9" w:rsidP="009530F9">
            <w:pPr>
              <w:rPr>
                <w:rFonts w:ascii="Verdana" w:hAnsi="Verdana"/>
                <w:color w:val="000000"/>
              </w:rPr>
            </w:pPr>
            <w:proofErr w:type="spellStart"/>
            <w:r w:rsidRPr="00B77B6F">
              <w:rPr>
                <w:rFonts w:ascii="Verdana" w:hAnsi="Verdana"/>
                <w:b/>
                <w:bCs/>
                <w:color w:val="000000"/>
              </w:rPr>
              <w:t>Javadin</w:t>
            </w:r>
            <w:proofErr w:type="spellEnd"/>
            <w:r w:rsidRPr="00B77B6F">
              <w:rPr>
                <w:rFonts w:ascii="Verdana" w:hAnsi="Verdana"/>
                <w:color w:val="000000"/>
              </w:rPr>
              <w:t xml:space="preserve"> (clonidine) 0.02 mg/mL oral solution for hypertension</w:t>
            </w:r>
          </w:p>
          <w:p w14:paraId="21C98F4D" w14:textId="28E6D83B" w:rsidR="00E031F4" w:rsidRPr="006547A2" w:rsidRDefault="00E031F4" w:rsidP="00413044">
            <w:pPr>
              <w:rPr>
                <w:rFonts w:ascii="Verdana" w:hAnsi="Verdana" w:cs="Arial"/>
              </w:rPr>
            </w:pPr>
          </w:p>
        </w:tc>
        <w:tc>
          <w:tcPr>
            <w:tcW w:w="4232" w:type="dxa"/>
            <w:shd w:val="clear" w:color="auto" w:fill="auto"/>
          </w:tcPr>
          <w:p w14:paraId="6F5F63A5" w14:textId="77777777" w:rsidR="009530F9" w:rsidRPr="00B77B6F" w:rsidRDefault="009530F9" w:rsidP="009530F9">
            <w:pPr>
              <w:rPr>
                <w:rFonts w:ascii="Verdana" w:hAnsi="Verdana"/>
              </w:rPr>
            </w:pPr>
            <w:r w:rsidRPr="00B77B6F">
              <w:rPr>
                <w:rFonts w:ascii="Verdana" w:hAnsi="Verdana"/>
              </w:rPr>
              <w:t>Clonidine oral solution is now available for the treatment of hypertension in adults. With dosing normalized to an equivalent 0.1 mg tablet, the new dosage form is approximately 50x the cost.</w:t>
            </w:r>
          </w:p>
          <w:p w14:paraId="4C8B5324" w14:textId="3F7F115C" w:rsidR="00E031F4" w:rsidRPr="006547A2" w:rsidRDefault="00E031F4" w:rsidP="00413044">
            <w:pPr>
              <w:rPr>
                <w:rFonts w:ascii="Verdana" w:hAnsi="Verdana"/>
              </w:rPr>
            </w:pPr>
          </w:p>
        </w:tc>
        <w:tc>
          <w:tcPr>
            <w:tcW w:w="4096" w:type="dxa"/>
            <w:shd w:val="clear" w:color="auto" w:fill="auto"/>
          </w:tcPr>
          <w:p w14:paraId="69164E68" w14:textId="77777777" w:rsidR="00E031F4" w:rsidRPr="00C61183" w:rsidRDefault="00E031F4" w:rsidP="00413044">
            <w:pPr>
              <w:rPr>
                <w:rFonts w:ascii="Verdana" w:hAnsi="Verdana"/>
              </w:rPr>
            </w:pPr>
            <w:r w:rsidRPr="00C61183">
              <w:rPr>
                <w:rFonts w:ascii="Verdana" w:hAnsi="Verdana"/>
              </w:rPr>
              <w:t>NF: all lines of business</w:t>
            </w:r>
          </w:p>
          <w:p w14:paraId="18016193" w14:textId="7F9797D3" w:rsidR="00E031F4" w:rsidRPr="006547A2" w:rsidRDefault="00E031F4" w:rsidP="00413044">
            <w:pPr>
              <w:rPr>
                <w:rFonts w:ascii="Verdana" w:hAnsi="Verdana"/>
              </w:rPr>
            </w:pPr>
          </w:p>
        </w:tc>
      </w:tr>
      <w:tr w:rsidR="00E031F4" w:rsidRPr="006547A2" w14:paraId="13911519" w14:textId="77777777" w:rsidTr="00413044">
        <w:tc>
          <w:tcPr>
            <w:tcW w:w="2589" w:type="dxa"/>
            <w:shd w:val="clear" w:color="auto" w:fill="auto"/>
          </w:tcPr>
          <w:p w14:paraId="18E6EB23" w14:textId="77777777" w:rsidR="009530F9" w:rsidRPr="00B77B6F" w:rsidRDefault="009530F9" w:rsidP="009530F9">
            <w:pPr>
              <w:rPr>
                <w:rFonts w:ascii="Verdana" w:hAnsi="Verdana"/>
                <w:color w:val="000000"/>
              </w:rPr>
            </w:pPr>
            <w:r w:rsidRPr="00B77B6F">
              <w:rPr>
                <w:rFonts w:ascii="Verdana" w:hAnsi="Verdana"/>
                <w:b/>
                <w:bCs/>
                <w:color w:val="000000"/>
              </w:rPr>
              <w:t>Desloratadine</w:t>
            </w:r>
            <w:r w:rsidRPr="00B77B6F">
              <w:rPr>
                <w:rFonts w:ascii="Verdana" w:hAnsi="Verdana"/>
                <w:color w:val="000000"/>
              </w:rPr>
              <w:t xml:space="preserve"> 0.5 mg/mL oral solution for allergic rhinitis &amp; urticaria</w:t>
            </w:r>
          </w:p>
          <w:p w14:paraId="270EBAFE" w14:textId="3B02297F" w:rsidR="00E031F4" w:rsidRPr="006547A2" w:rsidRDefault="00E031F4" w:rsidP="00413044">
            <w:pPr>
              <w:rPr>
                <w:rFonts w:ascii="Verdana" w:hAnsi="Verdana" w:cs="Arial"/>
              </w:rPr>
            </w:pPr>
          </w:p>
        </w:tc>
        <w:tc>
          <w:tcPr>
            <w:tcW w:w="4232" w:type="dxa"/>
            <w:shd w:val="clear" w:color="auto" w:fill="auto"/>
          </w:tcPr>
          <w:p w14:paraId="701A59BC" w14:textId="77777777" w:rsidR="009530F9" w:rsidRPr="00B77B6F" w:rsidRDefault="009530F9" w:rsidP="009530F9">
            <w:pPr>
              <w:rPr>
                <w:rFonts w:ascii="Verdana" w:hAnsi="Verdana"/>
              </w:rPr>
            </w:pPr>
            <w:r w:rsidRPr="00B77B6F">
              <w:rPr>
                <w:rFonts w:ascii="Verdana" w:hAnsi="Verdana"/>
              </w:rPr>
              <w:t>A very highly priced desloratadine solution has launched to the market. $2,950 per bottle</w:t>
            </w:r>
          </w:p>
          <w:p w14:paraId="7B28633C" w14:textId="018D1C15" w:rsidR="00E031F4" w:rsidRPr="006547A2" w:rsidRDefault="00E031F4" w:rsidP="00413044">
            <w:pPr>
              <w:rPr>
                <w:rFonts w:ascii="Verdana" w:hAnsi="Verdana"/>
              </w:rPr>
            </w:pPr>
          </w:p>
        </w:tc>
        <w:tc>
          <w:tcPr>
            <w:tcW w:w="4096" w:type="dxa"/>
            <w:shd w:val="clear" w:color="auto" w:fill="auto"/>
          </w:tcPr>
          <w:p w14:paraId="63D9267B" w14:textId="77777777" w:rsidR="00E031F4" w:rsidRPr="00C61183" w:rsidRDefault="00E031F4" w:rsidP="00413044">
            <w:pPr>
              <w:rPr>
                <w:rFonts w:ascii="Verdana" w:hAnsi="Verdana"/>
              </w:rPr>
            </w:pPr>
            <w:r w:rsidRPr="00C61183">
              <w:rPr>
                <w:rFonts w:ascii="Verdana" w:hAnsi="Verdana"/>
              </w:rPr>
              <w:t>NF: all lines of business</w:t>
            </w:r>
          </w:p>
          <w:p w14:paraId="5773E124" w14:textId="75A888EA" w:rsidR="00E031F4" w:rsidRPr="006547A2" w:rsidRDefault="00E031F4" w:rsidP="00413044">
            <w:pPr>
              <w:rPr>
                <w:rFonts w:ascii="Verdana" w:hAnsi="Verdana"/>
              </w:rPr>
            </w:pPr>
          </w:p>
        </w:tc>
      </w:tr>
      <w:tr w:rsidR="00E031F4" w:rsidRPr="006547A2" w14:paraId="3DEBBCBD" w14:textId="77777777" w:rsidTr="00413044">
        <w:tc>
          <w:tcPr>
            <w:tcW w:w="2589" w:type="dxa"/>
            <w:shd w:val="clear" w:color="auto" w:fill="auto"/>
          </w:tcPr>
          <w:p w14:paraId="7C1C4411" w14:textId="77777777" w:rsidR="009530F9" w:rsidRPr="00B77B6F" w:rsidRDefault="009530F9" w:rsidP="009530F9">
            <w:pPr>
              <w:rPr>
                <w:rFonts w:ascii="Verdana" w:hAnsi="Verdana"/>
                <w:color w:val="000000"/>
              </w:rPr>
            </w:pPr>
            <w:r w:rsidRPr="00B77B6F">
              <w:rPr>
                <w:rFonts w:ascii="Verdana" w:hAnsi="Verdana"/>
                <w:b/>
                <w:bCs/>
                <w:color w:val="000000"/>
              </w:rPr>
              <w:lastRenderedPageBreak/>
              <w:t>Midazolam</w:t>
            </w:r>
            <w:r w:rsidRPr="00B77B6F">
              <w:rPr>
                <w:rFonts w:ascii="Verdana" w:hAnsi="Verdana"/>
                <w:color w:val="000000"/>
              </w:rPr>
              <w:t xml:space="preserve"> 10 mg/0.7 mL autoinjector for status epilepticus</w:t>
            </w:r>
          </w:p>
          <w:p w14:paraId="1D08328A" w14:textId="6E0D89A6" w:rsidR="00E031F4" w:rsidRPr="006547A2" w:rsidRDefault="00E031F4" w:rsidP="00413044">
            <w:pPr>
              <w:rPr>
                <w:rFonts w:ascii="Verdana" w:hAnsi="Verdana" w:cs="Arial"/>
              </w:rPr>
            </w:pPr>
          </w:p>
        </w:tc>
        <w:tc>
          <w:tcPr>
            <w:tcW w:w="4232" w:type="dxa"/>
            <w:shd w:val="clear" w:color="auto" w:fill="auto"/>
          </w:tcPr>
          <w:p w14:paraId="33CC401A" w14:textId="77777777" w:rsidR="009530F9" w:rsidRPr="00B77B6F" w:rsidRDefault="009530F9" w:rsidP="009530F9">
            <w:pPr>
              <w:rPr>
                <w:rFonts w:ascii="Verdana" w:hAnsi="Verdana"/>
              </w:rPr>
            </w:pPr>
            <w:r w:rsidRPr="00B77B6F">
              <w:rPr>
                <w:rFonts w:ascii="Verdana" w:hAnsi="Verdana"/>
              </w:rPr>
              <w:t xml:space="preserve">This is an autoinjector form of midazolam that delivers 10 mg per injection for the disruption of status epilepticus. </w:t>
            </w:r>
          </w:p>
          <w:p w14:paraId="5E879233" w14:textId="14E02EDA" w:rsidR="00E031F4" w:rsidRPr="006547A2" w:rsidRDefault="00E031F4" w:rsidP="00413044">
            <w:pPr>
              <w:rPr>
                <w:rFonts w:ascii="Verdana" w:hAnsi="Verdana"/>
              </w:rPr>
            </w:pPr>
          </w:p>
        </w:tc>
        <w:tc>
          <w:tcPr>
            <w:tcW w:w="4096" w:type="dxa"/>
            <w:shd w:val="clear" w:color="auto" w:fill="auto"/>
          </w:tcPr>
          <w:p w14:paraId="0455CC5B" w14:textId="77777777" w:rsidR="009530F9" w:rsidRPr="00B77B6F" w:rsidRDefault="009530F9" w:rsidP="009530F9">
            <w:pPr>
              <w:rPr>
                <w:rFonts w:ascii="Verdana" w:hAnsi="Verdana"/>
              </w:rPr>
            </w:pPr>
            <w:r w:rsidRPr="00B77B6F">
              <w:rPr>
                <w:rFonts w:ascii="Verdana" w:hAnsi="Verdana"/>
              </w:rPr>
              <w:t>NF: all lines of business</w:t>
            </w:r>
          </w:p>
          <w:p w14:paraId="1200A5F7" w14:textId="30A8B7FC" w:rsidR="00E031F4" w:rsidRPr="006547A2" w:rsidRDefault="00E031F4" w:rsidP="00413044">
            <w:pPr>
              <w:rPr>
                <w:rFonts w:ascii="Verdana" w:hAnsi="Verdana"/>
              </w:rPr>
            </w:pPr>
          </w:p>
        </w:tc>
      </w:tr>
      <w:tr w:rsidR="00E031F4" w:rsidRPr="006547A2" w14:paraId="1C0D0A18" w14:textId="77777777" w:rsidTr="00413044">
        <w:tc>
          <w:tcPr>
            <w:tcW w:w="2589" w:type="dxa"/>
            <w:shd w:val="clear" w:color="auto" w:fill="auto"/>
          </w:tcPr>
          <w:p w14:paraId="0AD57D6D" w14:textId="77777777" w:rsidR="009530F9" w:rsidRPr="00E16744" w:rsidRDefault="009530F9" w:rsidP="009530F9">
            <w:pPr>
              <w:rPr>
                <w:rFonts w:ascii="Verdana" w:hAnsi="Verdana"/>
                <w:color w:val="000000"/>
              </w:rPr>
            </w:pPr>
            <w:proofErr w:type="spellStart"/>
            <w:r w:rsidRPr="00E16744">
              <w:rPr>
                <w:rFonts w:ascii="Verdana" w:hAnsi="Verdana"/>
                <w:b/>
                <w:bCs/>
                <w:color w:val="000000"/>
              </w:rPr>
              <w:t>Vraylar</w:t>
            </w:r>
            <w:proofErr w:type="spellEnd"/>
            <w:r w:rsidRPr="00E16744">
              <w:rPr>
                <w:rFonts w:ascii="Verdana" w:hAnsi="Verdana"/>
                <w:b/>
                <w:bCs/>
                <w:color w:val="000000"/>
              </w:rPr>
              <w:t xml:space="preserve"> </w:t>
            </w:r>
            <w:r w:rsidRPr="00E16744">
              <w:rPr>
                <w:rFonts w:ascii="Verdana" w:hAnsi="Verdana"/>
                <w:color w:val="000000"/>
              </w:rPr>
              <w:t>(</w:t>
            </w:r>
            <w:proofErr w:type="spellStart"/>
            <w:r w:rsidRPr="00E16744">
              <w:rPr>
                <w:rFonts w:ascii="Verdana" w:hAnsi="Verdana"/>
                <w:color w:val="000000"/>
              </w:rPr>
              <w:t>cariprazine</w:t>
            </w:r>
            <w:proofErr w:type="spellEnd"/>
            <w:r w:rsidRPr="00E16744">
              <w:rPr>
                <w:rFonts w:ascii="Verdana" w:hAnsi="Verdana"/>
                <w:color w:val="000000"/>
              </w:rPr>
              <w:t>) 0.5 mg &amp; 0.75 mg capsules for schizophrenia in patients ≥ 13 years of age &amp; manic or mixed episodes associated with bipolar I disorder in patients ≥ 10 years of age [new formulations &amp; age expansions]</w:t>
            </w:r>
          </w:p>
          <w:p w14:paraId="2FAC7839" w14:textId="3189E4C6" w:rsidR="00E031F4" w:rsidRPr="006547A2" w:rsidRDefault="00E031F4" w:rsidP="00413044">
            <w:pPr>
              <w:rPr>
                <w:rFonts w:ascii="Verdana" w:hAnsi="Verdana" w:cs="Arial"/>
              </w:rPr>
            </w:pPr>
          </w:p>
        </w:tc>
        <w:tc>
          <w:tcPr>
            <w:tcW w:w="4232" w:type="dxa"/>
            <w:shd w:val="clear" w:color="auto" w:fill="auto"/>
          </w:tcPr>
          <w:p w14:paraId="4B54C99A" w14:textId="77777777" w:rsidR="009530F9" w:rsidRPr="00E16744" w:rsidRDefault="009530F9" w:rsidP="009530F9">
            <w:pPr>
              <w:rPr>
                <w:rFonts w:ascii="Verdana" w:hAnsi="Verdana"/>
              </w:rPr>
            </w:pPr>
            <w:r w:rsidRPr="00E16744">
              <w:rPr>
                <w:rFonts w:ascii="Verdana" w:hAnsi="Verdana"/>
              </w:rPr>
              <w:t xml:space="preserve">New lower strength 0.5 and 0.75 mg capsules of </w:t>
            </w:r>
            <w:proofErr w:type="spellStart"/>
            <w:r w:rsidRPr="00E16744">
              <w:rPr>
                <w:rFonts w:ascii="Verdana" w:hAnsi="Verdana"/>
              </w:rPr>
              <w:t>cariprazine</w:t>
            </w:r>
            <w:proofErr w:type="spellEnd"/>
            <w:r w:rsidRPr="00E16744">
              <w:rPr>
                <w:rFonts w:ascii="Verdana" w:hAnsi="Verdana"/>
              </w:rPr>
              <w:t xml:space="preserve"> are now available to accommodate an indication expansion into adolescents. </w:t>
            </w:r>
          </w:p>
          <w:p w14:paraId="068CF62E" w14:textId="18668F08" w:rsidR="00E031F4" w:rsidRPr="006547A2" w:rsidRDefault="00E031F4" w:rsidP="00413044">
            <w:pPr>
              <w:rPr>
                <w:rFonts w:ascii="Verdana" w:hAnsi="Verdana"/>
              </w:rPr>
            </w:pPr>
          </w:p>
        </w:tc>
        <w:tc>
          <w:tcPr>
            <w:tcW w:w="4096" w:type="dxa"/>
            <w:shd w:val="clear" w:color="auto" w:fill="auto"/>
          </w:tcPr>
          <w:p w14:paraId="1100D726" w14:textId="4DDB5BC6" w:rsidR="009530F9" w:rsidRPr="00E16744" w:rsidRDefault="009530F9" w:rsidP="009530F9">
            <w:pPr>
              <w:tabs>
                <w:tab w:val="left" w:pos="930"/>
              </w:tabs>
              <w:rPr>
                <w:rFonts w:ascii="Verdana" w:hAnsi="Verdana"/>
              </w:rPr>
            </w:pPr>
            <w:r w:rsidRPr="00E16744">
              <w:rPr>
                <w:rFonts w:ascii="Verdana" w:hAnsi="Verdana"/>
              </w:rPr>
              <w:t>F: IFP</w:t>
            </w:r>
          </w:p>
          <w:p w14:paraId="684A818D" w14:textId="77777777" w:rsidR="009530F9" w:rsidRPr="00E16744" w:rsidRDefault="009530F9" w:rsidP="009530F9">
            <w:pPr>
              <w:tabs>
                <w:tab w:val="left" w:pos="930"/>
              </w:tabs>
              <w:rPr>
                <w:rFonts w:ascii="Verdana" w:hAnsi="Verdana"/>
              </w:rPr>
            </w:pPr>
            <w:r w:rsidRPr="00E16744">
              <w:rPr>
                <w:rFonts w:ascii="Verdana" w:hAnsi="Verdana"/>
              </w:rPr>
              <w:t>NP: MA</w:t>
            </w:r>
          </w:p>
          <w:p w14:paraId="68CD0386" w14:textId="5D995E3C" w:rsidR="00E031F4" w:rsidRPr="006547A2" w:rsidRDefault="00E031F4" w:rsidP="00413044">
            <w:pPr>
              <w:rPr>
                <w:rFonts w:ascii="Verdana" w:hAnsi="Verdana"/>
              </w:rPr>
            </w:pPr>
          </w:p>
        </w:tc>
      </w:tr>
      <w:tr w:rsidR="00E031F4" w:rsidRPr="006547A2" w14:paraId="213E30D5" w14:textId="77777777" w:rsidTr="00413044">
        <w:tc>
          <w:tcPr>
            <w:tcW w:w="2589" w:type="dxa"/>
            <w:shd w:val="clear" w:color="auto" w:fill="auto"/>
          </w:tcPr>
          <w:p w14:paraId="3FB0532A" w14:textId="77777777" w:rsidR="009530F9" w:rsidRPr="00E16744" w:rsidRDefault="009530F9" w:rsidP="009530F9">
            <w:pPr>
              <w:rPr>
                <w:rFonts w:ascii="Verdana" w:hAnsi="Verdana"/>
                <w:color w:val="000000"/>
              </w:rPr>
            </w:pPr>
            <w:r w:rsidRPr="00E16744">
              <w:rPr>
                <w:rFonts w:ascii="Verdana" w:hAnsi="Verdana"/>
                <w:b/>
                <w:bCs/>
                <w:color w:val="000000"/>
              </w:rPr>
              <w:t>Ranitidine</w:t>
            </w:r>
            <w:r w:rsidRPr="00E16744">
              <w:rPr>
                <w:rFonts w:ascii="Verdana" w:hAnsi="Verdana"/>
                <w:color w:val="000000"/>
              </w:rPr>
              <w:t xml:space="preserve"> 150 mg &amp; 300 mg tablets for reducing gastric acid</w:t>
            </w:r>
          </w:p>
          <w:p w14:paraId="43A1A4DD" w14:textId="121A429E" w:rsidR="00E031F4" w:rsidRPr="006547A2" w:rsidRDefault="00E031F4" w:rsidP="00413044">
            <w:pPr>
              <w:rPr>
                <w:rFonts w:ascii="Verdana" w:hAnsi="Verdana" w:cs="Arial"/>
              </w:rPr>
            </w:pPr>
          </w:p>
        </w:tc>
        <w:tc>
          <w:tcPr>
            <w:tcW w:w="4232" w:type="dxa"/>
            <w:shd w:val="clear" w:color="auto" w:fill="auto"/>
          </w:tcPr>
          <w:p w14:paraId="3CCE3F73" w14:textId="77777777" w:rsidR="009530F9" w:rsidRPr="00E16744" w:rsidRDefault="009530F9" w:rsidP="009530F9">
            <w:pPr>
              <w:rPr>
                <w:rFonts w:ascii="Verdana" w:hAnsi="Verdana"/>
              </w:rPr>
            </w:pPr>
            <w:r w:rsidRPr="00E16744">
              <w:rPr>
                <w:rFonts w:ascii="Verdana" w:hAnsi="Verdana"/>
              </w:rPr>
              <w:t xml:space="preserve">Ranitidine tablets have relaunched but only as prescription, in 2 different strengths from the same manufacturer. The 150 mg tablet has a unit WAC price of </w:t>
            </w:r>
            <w:proofErr w:type="gramStart"/>
            <w:r w:rsidRPr="00E16744">
              <w:rPr>
                <w:rFonts w:ascii="Verdana" w:hAnsi="Verdana"/>
              </w:rPr>
              <w:t>$6.63</w:t>
            </w:r>
            <w:proofErr w:type="gramEnd"/>
            <w:r w:rsidRPr="00E16744">
              <w:rPr>
                <w:rFonts w:ascii="Verdana" w:hAnsi="Verdana"/>
              </w:rPr>
              <w:t xml:space="preserve"> and the 300 mg tablet has a unit WAC of $12.04.</w:t>
            </w:r>
          </w:p>
          <w:p w14:paraId="2B3E8E4C" w14:textId="46EF0840" w:rsidR="00E031F4" w:rsidRPr="006547A2" w:rsidRDefault="00E031F4" w:rsidP="00413044">
            <w:pPr>
              <w:rPr>
                <w:rFonts w:ascii="Verdana" w:hAnsi="Verdana"/>
              </w:rPr>
            </w:pPr>
          </w:p>
        </w:tc>
        <w:tc>
          <w:tcPr>
            <w:tcW w:w="4096" w:type="dxa"/>
            <w:shd w:val="clear" w:color="auto" w:fill="auto"/>
          </w:tcPr>
          <w:p w14:paraId="5EF36BC7" w14:textId="77777777" w:rsidR="009530F9" w:rsidRPr="000539BD" w:rsidRDefault="009530F9" w:rsidP="009530F9">
            <w:pPr>
              <w:rPr>
                <w:rFonts w:ascii="Verdana" w:hAnsi="Verdana"/>
              </w:rPr>
            </w:pPr>
            <w:r w:rsidRPr="000539BD">
              <w:rPr>
                <w:rFonts w:ascii="Verdana" w:hAnsi="Verdana"/>
              </w:rPr>
              <w:t>NF: all lines of business</w:t>
            </w:r>
          </w:p>
          <w:p w14:paraId="19E5D58D" w14:textId="2E92F1DA" w:rsidR="00E031F4" w:rsidRPr="006547A2" w:rsidRDefault="00E031F4" w:rsidP="00413044">
            <w:pPr>
              <w:rPr>
                <w:rFonts w:ascii="Verdana" w:hAnsi="Verdana"/>
              </w:rPr>
            </w:pPr>
          </w:p>
        </w:tc>
      </w:tr>
      <w:tr w:rsidR="00E031F4" w:rsidRPr="006547A2" w14:paraId="3F73FA08" w14:textId="77777777" w:rsidTr="00413044">
        <w:tc>
          <w:tcPr>
            <w:tcW w:w="2589" w:type="dxa"/>
            <w:shd w:val="clear" w:color="auto" w:fill="auto"/>
          </w:tcPr>
          <w:p w14:paraId="6EA2A557" w14:textId="77777777" w:rsidR="009530F9" w:rsidRPr="00E16744" w:rsidRDefault="009530F9" w:rsidP="009530F9">
            <w:pPr>
              <w:rPr>
                <w:rFonts w:ascii="Verdana" w:hAnsi="Verdana"/>
                <w:color w:val="000000"/>
              </w:rPr>
            </w:pPr>
            <w:proofErr w:type="spellStart"/>
            <w:r w:rsidRPr="00E16744">
              <w:rPr>
                <w:rFonts w:ascii="Verdana" w:hAnsi="Verdana"/>
                <w:b/>
                <w:bCs/>
                <w:color w:val="000000"/>
              </w:rPr>
              <w:t>Pokonza</w:t>
            </w:r>
            <w:proofErr w:type="spellEnd"/>
            <w:r w:rsidRPr="00E16744">
              <w:rPr>
                <w:rFonts w:ascii="Verdana" w:hAnsi="Verdana"/>
                <w:color w:val="000000"/>
              </w:rPr>
              <w:t xml:space="preserve"> (potassium chloride) 15 </w:t>
            </w:r>
            <w:proofErr w:type="spellStart"/>
            <w:r w:rsidRPr="00E16744">
              <w:rPr>
                <w:rFonts w:ascii="Verdana" w:hAnsi="Verdana"/>
                <w:color w:val="000000"/>
              </w:rPr>
              <w:t>mEq</w:t>
            </w:r>
            <w:proofErr w:type="spellEnd"/>
            <w:r w:rsidRPr="00E16744">
              <w:rPr>
                <w:rFonts w:ascii="Verdana" w:hAnsi="Verdana"/>
                <w:color w:val="000000"/>
              </w:rPr>
              <w:t xml:space="preserve"> powder packets for hypokalemia</w:t>
            </w:r>
          </w:p>
          <w:p w14:paraId="74C27BEC" w14:textId="38C8A956" w:rsidR="00E031F4" w:rsidRPr="006547A2" w:rsidRDefault="00E031F4" w:rsidP="00413044">
            <w:pPr>
              <w:rPr>
                <w:rFonts w:ascii="Verdana" w:hAnsi="Verdana" w:cs="Arial"/>
              </w:rPr>
            </w:pPr>
          </w:p>
        </w:tc>
        <w:tc>
          <w:tcPr>
            <w:tcW w:w="4232" w:type="dxa"/>
            <w:shd w:val="clear" w:color="auto" w:fill="auto"/>
          </w:tcPr>
          <w:p w14:paraId="0FFC0CF1" w14:textId="77777777" w:rsidR="009530F9" w:rsidRPr="00E16744" w:rsidRDefault="009530F9" w:rsidP="009530F9">
            <w:pPr>
              <w:rPr>
                <w:rFonts w:ascii="Verdana" w:hAnsi="Verdana"/>
              </w:rPr>
            </w:pPr>
            <w:r w:rsidRPr="00E16744">
              <w:rPr>
                <w:rFonts w:ascii="Verdana" w:hAnsi="Verdana"/>
              </w:rPr>
              <w:t xml:space="preserve">A new strength of potassium chloride packets launched, available as 15 </w:t>
            </w:r>
            <w:proofErr w:type="spellStart"/>
            <w:r w:rsidRPr="00E16744">
              <w:rPr>
                <w:rFonts w:ascii="Verdana" w:hAnsi="Verdana"/>
              </w:rPr>
              <w:t>mEq</w:t>
            </w:r>
            <w:proofErr w:type="spellEnd"/>
            <w:r w:rsidRPr="00E16744">
              <w:rPr>
                <w:rFonts w:ascii="Verdana" w:hAnsi="Verdana"/>
              </w:rPr>
              <w:t xml:space="preserve"> packets under the brand name </w:t>
            </w:r>
            <w:proofErr w:type="spellStart"/>
            <w:r w:rsidRPr="00E16744">
              <w:rPr>
                <w:rFonts w:ascii="Verdana" w:hAnsi="Verdana"/>
              </w:rPr>
              <w:t>Pokonza</w:t>
            </w:r>
            <w:proofErr w:type="spellEnd"/>
            <w:r w:rsidRPr="00E16744">
              <w:rPr>
                <w:rFonts w:ascii="Verdana" w:hAnsi="Verdana"/>
              </w:rPr>
              <w:t xml:space="preserve">. The new 15 </w:t>
            </w:r>
            <w:proofErr w:type="spellStart"/>
            <w:r w:rsidRPr="00E16744">
              <w:rPr>
                <w:rFonts w:ascii="Verdana" w:hAnsi="Verdana"/>
              </w:rPr>
              <w:t>mEq</w:t>
            </w:r>
            <w:proofErr w:type="spellEnd"/>
            <w:r w:rsidRPr="00E16744">
              <w:rPr>
                <w:rFonts w:ascii="Verdana" w:hAnsi="Verdana"/>
              </w:rPr>
              <w:t xml:space="preserve"> packets have a unit WAC of $43.04. The 20 </w:t>
            </w:r>
            <w:proofErr w:type="spellStart"/>
            <w:r w:rsidRPr="00E16744">
              <w:rPr>
                <w:rFonts w:ascii="Verdana" w:hAnsi="Verdana"/>
              </w:rPr>
              <w:t>mEq</w:t>
            </w:r>
            <w:proofErr w:type="spellEnd"/>
            <w:r w:rsidRPr="00E16744">
              <w:rPr>
                <w:rFonts w:ascii="Verdana" w:hAnsi="Verdana"/>
              </w:rPr>
              <w:t xml:space="preserve"> packets are available generically and have a MAC of ~ $1.25.</w:t>
            </w:r>
          </w:p>
          <w:p w14:paraId="641902AB" w14:textId="147A7434" w:rsidR="00E031F4" w:rsidRPr="006547A2" w:rsidRDefault="00E031F4" w:rsidP="00413044">
            <w:pPr>
              <w:rPr>
                <w:rFonts w:ascii="Verdana" w:hAnsi="Verdana"/>
              </w:rPr>
            </w:pPr>
          </w:p>
        </w:tc>
        <w:tc>
          <w:tcPr>
            <w:tcW w:w="4096" w:type="dxa"/>
            <w:shd w:val="clear" w:color="auto" w:fill="auto"/>
          </w:tcPr>
          <w:p w14:paraId="76E1B574" w14:textId="77777777" w:rsidR="00E031F4" w:rsidRPr="00C61183" w:rsidRDefault="00E031F4" w:rsidP="00413044">
            <w:pPr>
              <w:rPr>
                <w:rFonts w:ascii="Verdana" w:hAnsi="Verdana"/>
              </w:rPr>
            </w:pPr>
            <w:r w:rsidRPr="00C61183">
              <w:rPr>
                <w:rFonts w:ascii="Verdana" w:hAnsi="Verdana"/>
              </w:rPr>
              <w:t>NF: all lines of business</w:t>
            </w:r>
          </w:p>
          <w:p w14:paraId="2E8856BA" w14:textId="5FC10CEB" w:rsidR="00E031F4" w:rsidRPr="006547A2" w:rsidRDefault="00E031F4" w:rsidP="00413044">
            <w:pPr>
              <w:rPr>
                <w:rFonts w:ascii="Verdana" w:hAnsi="Verdana"/>
              </w:rPr>
            </w:pPr>
          </w:p>
        </w:tc>
      </w:tr>
      <w:tr w:rsidR="00E031F4" w:rsidRPr="006547A2" w14:paraId="12071E5F" w14:textId="77777777" w:rsidTr="00413044">
        <w:tc>
          <w:tcPr>
            <w:tcW w:w="2589" w:type="dxa"/>
            <w:shd w:val="clear" w:color="auto" w:fill="auto"/>
          </w:tcPr>
          <w:p w14:paraId="792B02CF" w14:textId="77777777" w:rsidR="009530F9" w:rsidRPr="00E16744" w:rsidRDefault="009530F9" w:rsidP="009530F9">
            <w:pPr>
              <w:rPr>
                <w:rFonts w:ascii="Verdana" w:hAnsi="Verdana"/>
                <w:color w:val="000000"/>
              </w:rPr>
            </w:pPr>
            <w:r w:rsidRPr="00E16744">
              <w:rPr>
                <w:rFonts w:ascii="Verdana" w:hAnsi="Verdana"/>
                <w:b/>
                <w:bCs/>
                <w:color w:val="000000"/>
              </w:rPr>
              <w:t xml:space="preserve">Potassium chloride </w:t>
            </w:r>
            <w:r w:rsidRPr="00E16744">
              <w:rPr>
                <w:rFonts w:ascii="Verdana" w:hAnsi="Verdana"/>
                <w:color w:val="000000"/>
              </w:rPr>
              <w:t xml:space="preserve">40 </w:t>
            </w:r>
            <w:proofErr w:type="spellStart"/>
            <w:r w:rsidRPr="00E16744">
              <w:rPr>
                <w:rFonts w:ascii="Verdana" w:hAnsi="Verdana"/>
                <w:color w:val="000000"/>
              </w:rPr>
              <w:t>mEq</w:t>
            </w:r>
            <w:proofErr w:type="spellEnd"/>
            <w:r w:rsidRPr="00E16744">
              <w:rPr>
                <w:rFonts w:ascii="Verdana" w:hAnsi="Verdana"/>
                <w:color w:val="000000"/>
              </w:rPr>
              <w:t xml:space="preserve"> powder packet for hypokalemia</w:t>
            </w:r>
          </w:p>
          <w:p w14:paraId="7829FC68" w14:textId="051515CC" w:rsidR="00E031F4" w:rsidRPr="006547A2" w:rsidRDefault="00E031F4" w:rsidP="00413044">
            <w:pPr>
              <w:rPr>
                <w:rFonts w:ascii="Verdana" w:hAnsi="Verdana" w:cs="Arial"/>
              </w:rPr>
            </w:pPr>
          </w:p>
        </w:tc>
        <w:tc>
          <w:tcPr>
            <w:tcW w:w="4232" w:type="dxa"/>
            <w:shd w:val="clear" w:color="auto" w:fill="auto"/>
          </w:tcPr>
          <w:p w14:paraId="6B207BBD" w14:textId="77777777" w:rsidR="009530F9" w:rsidRPr="00E16744" w:rsidRDefault="009530F9" w:rsidP="009530F9">
            <w:pPr>
              <w:rPr>
                <w:rFonts w:ascii="Verdana" w:hAnsi="Verdana"/>
              </w:rPr>
            </w:pPr>
            <w:r w:rsidRPr="00E16744">
              <w:rPr>
                <w:rFonts w:ascii="Verdana" w:hAnsi="Verdana"/>
              </w:rPr>
              <w:t xml:space="preserve">Another new strength of potassium chloride packets also launched, available as 40 </w:t>
            </w:r>
            <w:proofErr w:type="spellStart"/>
            <w:r w:rsidRPr="00E16744">
              <w:rPr>
                <w:rFonts w:ascii="Verdana" w:hAnsi="Verdana"/>
              </w:rPr>
              <w:t>mEq</w:t>
            </w:r>
            <w:proofErr w:type="spellEnd"/>
            <w:r w:rsidRPr="00E16744">
              <w:rPr>
                <w:rFonts w:ascii="Verdana" w:hAnsi="Verdana"/>
              </w:rPr>
              <w:t xml:space="preserve"> packets. The 40 </w:t>
            </w:r>
            <w:proofErr w:type="spellStart"/>
            <w:r w:rsidRPr="00E16744">
              <w:rPr>
                <w:rFonts w:ascii="Verdana" w:hAnsi="Verdana"/>
              </w:rPr>
              <w:t>mEq</w:t>
            </w:r>
            <w:proofErr w:type="spellEnd"/>
            <w:r w:rsidRPr="00E16744">
              <w:rPr>
                <w:rFonts w:ascii="Verdana" w:hAnsi="Verdana"/>
              </w:rPr>
              <w:t xml:space="preserve"> packets have a WAC of $86.07 per packet</w:t>
            </w:r>
          </w:p>
          <w:p w14:paraId="7DC522E1" w14:textId="628B9E2E" w:rsidR="00E031F4" w:rsidRPr="006547A2" w:rsidRDefault="00E031F4" w:rsidP="00413044">
            <w:pPr>
              <w:rPr>
                <w:rFonts w:ascii="Verdana" w:hAnsi="Verdana"/>
              </w:rPr>
            </w:pPr>
          </w:p>
        </w:tc>
        <w:tc>
          <w:tcPr>
            <w:tcW w:w="4096" w:type="dxa"/>
            <w:shd w:val="clear" w:color="auto" w:fill="auto"/>
          </w:tcPr>
          <w:p w14:paraId="75AE2027" w14:textId="77777777" w:rsidR="00E031F4" w:rsidRPr="004D3445" w:rsidRDefault="00E031F4" w:rsidP="00413044">
            <w:pPr>
              <w:rPr>
                <w:rFonts w:ascii="Verdana" w:hAnsi="Verdana"/>
              </w:rPr>
            </w:pPr>
            <w:r w:rsidRPr="004D3445">
              <w:rPr>
                <w:rFonts w:ascii="Verdana" w:hAnsi="Verdana"/>
              </w:rPr>
              <w:t>NF: all lines of business</w:t>
            </w:r>
          </w:p>
          <w:p w14:paraId="0ED810BF" w14:textId="363566B0" w:rsidR="00E031F4" w:rsidRPr="006547A2" w:rsidRDefault="00E031F4" w:rsidP="00413044">
            <w:pPr>
              <w:rPr>
                <w:rFonts w:ascii="Verdana" w:hAnsi="Verdana"/>
              </w:rPr>
            </w:pPr>
          </w:p>
        </w:tc>
      </w:tr>
      <w:tr w:rsidR="00E031F4" w:rsidRPr="006547A2" w14:paraId="441BB526" w14:textId="77777777" w:rsidTr="00413044">
        <w:tc>
          <w:tcPr>
            <w:tcW w:w="2589" w:type="dxa"/>
            <w:shd w:val="clear" w:color="auto" w:fill="auto"/>
          </w:tcPr>
          <w:p w14:paraId="5281D640" w14:textId="77777777" w:rsidR="009530F9" w:rsidRPr="00E16744" w:rsidRDefault="009530F9" w:rsidP="009530F9">
            <w:pPr>
              <w:rPr>
                <w:rFonts w:ascii="Verdana" w:hAnsi="Verdana"/>
                <w:color w:val="000000"/>
              </w:rPr>
            </w:pPr>
            <w:r w:rsidRPr="00E16744">
              <w:rPr>
                <w:rFonts w:ascii="Verdana" w:hAnsi="Verdana"/>
                <w:b/>
                <w:bCs/>
                <w:color w:val="000000"/>
                <w:lang w:val="da-DK"/>
              </w:rPr>
              <w:t>Xpovio</w:t>
            </w:r>
            <w:r w:rsidRPr="00E16744">
              <w:rPr>
                <w:rFonts w:ascii="Verdana" w:hAnsi="Verdana"/>
                <w:color w:val="000000"/>
                <w:lang w:val="da-DK"/>
              </w:rPr>
              <w:t xml:space="preserve"> (selinexor) 80 mg tablets for multiple myeloma &amp; </w:t>
            </w:r>
            <w:r w:rsidRPr="00E16744">
              <w:rPr>
                <w:rFonts w:ascii="Verdana" w:hAnsi="Verdana"/>
                <w:color w:val="000000"/>
                <w:lang w:val="da-DK"/>
              </w:rPr>
              <w:lastRenderedPageBreak/>
              <w:t>diffuse large B-cell lymphoma</w:t>
            </w:r>
          </w:p>
          <w:p w14:paraId="2B9C35FC" w14:textId="14F1E683" w:rsidR="00E031F4" w:rsidRPr="006547A2" w:rsidRDefault="00E031F4" w:rsidP="00413044">
            <w:pPr>
              <w:rPr>
                <w:rFonts w:ascii="Verdana" w:hAnsi="Verdana" w:cs="Arial"/>
              </w:rPr>
            </w:pPr>
          </w:p>
        </w:tc>
        <w:tc>
          <w:tcPr>
            <w:tcW w:w="4232" w:type="dxa"/>
            <w:shd w:val="clear" w:color="auto" w:fill="auto"/>
          </w:tcPr>
          <w:p w14:paraId="1DAB193E" w14:textId="77777777" w:rsidR="009530F9" w:rsidRPr="00E16744" w:rsidRDefault="009530F9" w:rsidP="009530F9">
            <w:pPr>
              <w:rPr>
                <w:rFonts w:ascii="Verdana" w:hAnsi="Verdana"/>
              </w:rPr>
            </w:pPr>
            <w:r w:rsidRPr="00E16744">
              <w:rPr>
                <w:rFonts w:ascii="Verdana" w:hAnsi="Verdana"/>
              </w:rPr>
              <w:lastRenderedPageBreak/>
              <w:t xml:space="preserve">A new </w:t>
            </w:r>
            <w:proofErr w:type="spellStart"/>
            <w:r w:rsidRPr="00E16744">
              <w:rPr>
                <w:rFonts w:ascii="Verdana" w:hAnsi="Verdana"/>
              </w:rPr>
              <w:t>Xpovio</w:t>
            </w:r>
            <w:proofErr w:type="spellEnd"/>
            <w:r w:rsidRPr="00E16744">
              <w:rPr>
                <w:rFonts w:ascii="Verdana" w:hAnsi="Verdana"/>
              </w:rPr>
              <w:t xml:space="preserve"> pack has </w:t>
            </w:r>
            <w:proofErr w:type="gramStart"/>
            <w:r w:rsidRPr="00E16744">
              <w:rPr>
                <w:rFonts w:ascii="Verdana" w:hAnsi="Verdana"/>
              </w:rPr>
              <w:t>launched</w:t>
            </w:r>
            <w:proofErr w:type="gramEnd"/>
            <w:r w:rsidRPr="00E16744">
              <w:rPr>
                <w:rFonts w:ascii="Verdana" w:hAnsi="Verdana"/>
              </w:rPr>
              <w:t xml:space="preserve"> for the 80 mg once weekly dose. Previously available as 2 x 40 mg tablets per week, the new pack has </w:t>
            </w:r>
            <w:r w:rsidRPr="00E16744">
              <w:rPr>
                <w:rFonts w:ascii="Verdana" w:hAnsi="Verdana"/>
              </w:rPr>
              <w:lastRenderedPageBreak/>
              <w:t xml:space="preserve">a single 80 mg tablet. There is no change to price per week. </w:t>
            </w:r>
          </w:p>
          <w:p w14:paraId="22CFD938" w14:textId="4BF0FDBF" w:rsidR="00E031F4" w:rsidRPr="006547A2" w:rsidRDefault="00E031F4" w:rsidP="00413044">
            <w:pPr>
              <w:rPr>
                <w:rFonts w:ascii="Verdana" w:hAnsi="Verdana"/>
              </w:rPr>
            </w:pPr>
          </w:p>
        </w:tc>
        <w:tc>
          <w:tcPr>
            <w:tcW w:w="4096" w:type="dxa"/>
            <w:shd w:val="clear" w:color="auto" w:fill="auto"/>
          </w:tcPr>
          <w:p w14:paraId="5B02C3D9" w14:textId="77777777" w:rsidR="009530F9" w:rsidRPr="00E16744" w:rsidRDefault="009530F9" w:rsidP="009530F9">
            <w:pPr>
              <w:rPr>
                <w:rFonts w:ascii="Verdana" w:hAnsi="Verdana"/>
              </w:rPr>
            </w:pPr>
            <w:r w:rsidRPr="00E16744">
              <w:rPr>
                <w:rFonts w:ascii="Verdana" w:hAnsi="Verdana"/>
              </w:rPr>
              <w:lastRenderedPageBreak/>
              <w:t>F: all lines of business</w:t>
            </w:r>
          </w:p>
          <w:p w14:paraId="1ACCF690" w14:textId="0C198D82" w:rsidR="00E031F4" w:rsidRPr="006547A2" w:rsidRDefault="00E031F4" w:rsidP="00413044">
            <w:pPr>
              <w:rPr>
                <w:rFonts w:ascii="Verdana" w:hAnsi="Verdana"/>
              </w:rPr>
            </w:pPr>
          </w:p>
        </w:tc>
      </w:tr>
      <w:tr w:rsidR="00E031F4" w:rsidRPr="006547A2" w14:paraId="602D44F3" w14:textId="77777777" w:rsidTr="00413044">
        <w:tc>
          <w:tcPr>
            <w:tcW w:w="2589" w:type="dxa"/>
            <w:shd w:val="clear" w:color="auto" w:fill="auto"/>
          </w:tcPr>
          <w:p w14:paraId="425E35F9" w14:textId="77777777" w:rsidR="009530F9" w:rsidRPr="00E16744" w:rsidRDefault="009530F9" w:rsidP="009530F9">
            <w:pPr>
              <w:rPr>
                <w:rFonts w:ascii="Verdana" w:hAnsi="Verdana"/>
                <w:color w:val="000000"/>
              </w:rPr>
            </w:pPr>
            <w:r w:rsidRPr="00E16744">
              <w:rPr>
                <w:rFonts w:ascii="Verdana" w:hAnsi="Verdana"/>
                <w:b/>
                <w:bCs/>
                <w:color w:val="000000"/>
              </w:rPr>
              <w:t>Cefixime</w:t>
            </w:r>
            <w:r w:rsidRPr="00E16744">
              <w:rPr>
                <w:rFonts w:ascii="Verdana" w:hAnsi="Verdana"/>
                <w:color w:val="000000"/>
              </w:rPr>
              <w:t xml:space="preserve"> 400 mg tablets for various susceptible infections</w:t>
            </w:r>
          </w:p>
          <w:p w14:paraId="37AD2500" w14:textId="5CFED3B6" w:rsidR="00E031F4" w:rsidRPr="006547A2" w:rsidRDefault="00E031F4" w:rsidP="00413044">
            <w:pPr>
              <w:rPr>
                <w:rFonts w:ascii="Verdana" w:hAnsi="Verdana" w:cs="Arial"/>
              </w:rPr>
            </w:pPr>
          </w:p>
        </w:tc>
        <w:tc>
          <w:tcPr>
            <w:tcW w:w="4232" w:type="dxa"/>
            <w:shd w:val="clear" w:color="auto" w:fill="auto"/>
          </w:tcPr>
          <w:p w14:paraId="42D3848A" w14:textId="77777777" w:rsidR="009530F9" w:rsidRPr="00E16744" w:rsidRDefault="009530F9" w:rsidP="009530F9">
            <w:pPr>
              <w:rPr>
                <w:rFonts w:ascii="Verdana" w:hAnsi="Verdana"/>
              </w:rPr>
            </w:pPr>
            <w:r w:rsidRPr="00E16744">
              <w:rPr>
                <w:rFonts w:ascii="Verdana" w:hAnsi="Verdana"/>
              </w:rPr>
              <w:t>The tablet formulation of cefixime 400 mg recently re-launched following a long-term discontinuation. The capsule formulation has otherwise been available throughout this timeframe and is approximately half the cost.</w:t>
            </w:r>
          </w:p>
          <w:p w14:paraId="0871309E" w14:textId="26110B3C" w:rsidR="00E031F4" w:rsidRPr="006547A2" w:rsidRDefault="00E031F4" w:rsidP="00413044">
            <w:pPr>
              <w:rPr>
                <w:rFonts w:ascii="Verdana" w:hAnsi="Verdana"/>
              </w:rPr>
            </w:pPr>
          </w:p>
        </w:tc>
        <w:tc>
          <w:tcPr>
            <w:tcW w:w="4096" w:type="dxa"/>
            <w:shd w:val="clear" w:color="auto" w:fill="auto"/>
          </w:tcPr>
          <w:p w14:paraId="45C58D45" w14:textId="77777777" w:rsidR="00E031F4" w:rsidRPr="00C61183" w:rsidRDefault="00E031F4" w:rsidP="00413044">
            <w:pPr>
              <w:rPr>
                <w:rFonts w:ascii="Verdana" w:hAnsi="Verdana"/>
              </w:rPr>
            </w:pPr>
            <w:r w:rsidRPr="00C61183">
              <w:rPr>
                <w:rFonts w:ascii="Verdana" w:hAnsi="Verdana"/>
              </w:rPr>
              <w:t>NF: all lines of business</w:t>
            </w:r>
          </w:p>
          <w:p w14:paraId="7962D90A" w14:textId="4B566A8D" w:rsidR="00E031F4" w:rsidRPr="006547A2" w:rsidRDefault="00E031F4" w:rsidP="00413044">
            <w:pPr>
              <w:rPr>
                <w:rFonts w:ascii="Verdana" w:hAnsi="Verdana"/>
              </w:rPr>
            </w:pPr>
          </w:p>
        </w:tc>
      </w:tr>
      <w:tr w:rsidR="00E031F4" w:rsidRPr="006547A2" w14:paraId="413C099F" w14:textId="77777777" w:rsidTr="00413044">
        <w:tc>
          <w:tcPr>
            <w:tcW w:w="2589" w:type="dxa"/>
            <w:shd w:val="clear" w:color="auto" w:fill="auto"/>
          </w:tcPr>
          <w:p w14:paraId="63BC1B2A" w14:textId="77777777" w:rsidR="009530F9" w:rsidRPr="00E16744" w:rsidRDefault="009530F9" w:rsidP="009530F9">
            <w:pPr>
              <w:rPr>
                <w:rFonts w:ascii="Verdana" w:hAnsi="Verdana"/>
                <w:color w:val="000000"/>
              </w:rPr>
            </w:pPr>
            <w:proofErr w:type="spellStart"/>
            <w:r w:rsidRPr="00E16744">
              <w:rPr>
                <w:rFonts w:ascii="Verdana" w:hAnsi="Verdana"/>
                <w:b/>
                <w:bCs/>
                <w:color w:val="000000"/>
              </w:rPr>
              <w:t>Wegovy</w:t>
            </w:r>
            <w:proofErr w:type="spellEnd"/>
            <w:r w:rsidRPr="00E16744">
              <w:rPr>
                <w:rFonts w:ascii="Verdana" w:hAnsi="Verdana"/>
                <w:color w:val="000000"/>
              </w:rPr>
              <w:t xml:space="preserve"> (</w:t>
            </w:r>
            <w:proofErr w:type="spellStart"/>
            <w:r w:rsidRPr="00E16744">
              <w:rPr>
                <w:rFonts w:ascii="Verdana" w:hAnsi="Verdana"/>
                <w:color w:val="000000"/>
              </w:rPr>
              <w:t>semaglutide</w:t>
            </w:r>
            <w:proofErr w:type="spellEnd"/>
            <w:r w:rsidRPr="00E16744">
              <w:rPr>
                <w:rFonts w:ascii="Verdana" w:hAnsi="Verdana"/>
                <w:color w:val="000000"/>
              </w:rPr>
              <w:t>) 1.5, 4, 9, &amp; 25 mg tablets for chronic weight management &amp; MACE reduction</w:t>
            </w:r>
          </w:p>
          <w:p w14:paraId="7E52A175" w14:textId="4D619C54" w:rsidR="00E031F4" w:rsidRPr="006547A2" w:rsidRDefault="00E031F4" w:rsidP="00413044">
            <w:pPr>
              <w:rPr>
                <w:rFonts w:ascii="Verdana" w:hAnsi="Verdana" w:cs="Arial"/>
              </w:rPr>
            </w:pPr>
          </w:p>
        </w:tc>
        <w:tc>
          <w:tcPr>
            <w:tcW w:w="4232" w:type="dxa"/>
            <w:shd w:val="clear" w:color="auto" w:fill="auto"/>
          </w:tcPr>
          <w:p w14:paraId="0C744293" w14:textId="77777777" w:rsidR="009530F9" w:rsidRPr="00E16744" w:rsidRDefault="009530F9" w:rsidP="009530F9">
            <w:pPr>
              <w:rPr>
                <w:rFonts w:ascii="Verdana" w:hAnsi="Verdana"/>
              </w:rPr>
            </w:pPr>
            <w:proofErr w:type="spellStart"/>
            <w:r w:rsidRPr="00E16744">
              <w:rPr>
                <w:rFonts w:ascii="Verdana" w:hAnsi="Verdana"/>
              </w:rPr>
              <w:t>Semaglutide</w:t>
            </w:r>
            <w:proofErr w:type="spellEnd"/>
            <w:r w:rsidRPr="00E16744">
              <w:rPr>
                <w:rFonts w:ascii="Verdana" w:hAnsi="Verdana"/>
              </w:rPr>
              <w:t xml:space="preserve"> for weight management is now available in an oral tablet dosage form. The product carries the same indications for chronic weight management and reduction of cardiovascular risk but does not have an indication for the treatment of metabolic dysfunction-associated steatohepatitis. </w:t>
            </w:r>
          </w:p>
          <w:p w14:paraId="4308F632" w14:textId="370CE082" w:rsidR="00E031F4" w:rsidRPr="006547A2" w:rsidRDefault="00E031F4" w:rsidP="00413044">
            <w:pPr>
              <w:rPr>
                <w:rFonts w:ascii="Verdana" w:hAnsi="Verdana"/>
              </w:rPr>
            </w:pPr>
          </w:p>
        </w:tc>
        <w:tc>
          <w:tcPr>
            <w:tcW w:w="4096" w:type="dxa"/>
            <w:shd w:val="clear" w:color="auto" w:fill="auto"/>
          </w:tcPr>
          <w:p w14:paraId="431296D3" w14:textId="77777777" w:rsidR="00E031F4" w:rsidRPr="00C61183" w:rsidRDefault="00E031F4" w:rsidP="00413044">
            <w:pPr>
              <w:rPr>
                <w:rFonts w:ascii="Verdana" w:hAnsi="Verdana"/>
              </w:rPr>
            </w:pPr>
            <w:r w:rsidRPr="00C61183">
              <w:rPr>
                <w:rFonts w:ascii="Verdana" w:hAnsi="Verdana"/>
              </w:rPr>
              <w:t>NF: all lines of bu</w:t>
            </w:r>
            <w:r>
              <w:rPr>
                <w:rFonts w:ascii="Verdana" w:hAnsi="Verdana"/>
              </w:rPr>
              <w:t>si</w:t>
            </w:r>
            <w:r w:rsidRPr="00C61183">
              <w:rPr>
                <w:rFonts w:ascii="Verdana" w:hAnsi="Verdana"/>
              </w:rPr>
              <w:t>ness</w:t>
            </w:r>
          </w:p>
          <w:p w14:paraId="49D9BD32" w14:textId="4D427126" w:rsidR="00E031F4" w:rsidRPr="006547A2" w:rsidRDefault="00E031F4" w:rsidP="00413044">
            <w:pPr>
              <w:rPr>
                <w:rFonts w:ascii="Verdana" w:hAnsi="Verdana"/>
              </w:rPr>
            </w:pPr>
          </w:p>
        </w:tc>
      </w:tr>
      <w:tr w:rsidR="00E031F4" w:rsidRPr="006547A2" w14:paraId="19B63FA6" w14:textId="77777777" w:rsidTr="00413044">
        <w:tc>
          <w:tcPr>
            <w:tcW w:w="2589" w:type="dxa"/>
            <w:shd w:val="clear" w:color="auto" w:fill="auto"/>
          </w:tcPr>
          <w:p w14:paraId="44FD7FFA" w14:textId="77777777" w:rsidR="009530F9" w:rsidRPr="00E16744" w:rsidRDefault="009530F9" w:rsidP="009530F9">
            <w:pPr>
              <w:rPr>
                <w:rFonts w:ascii="Verdana" w:hAnsi="Verdana"/>
                <w:color w:val="000000"/>
              </w:rPr>
            </w:pPr>
            <w:proofErr w:type="spellStart"/>
            <w:r w:rsidRPr="00E16744">
              <w:rPr>
                <w:rFonts w:ascii="Verdana" w:hAnsi="Verdana"/>
                <w:b/>
                <w:bCs/>
                <w:color w:val="000000"/>
              </w:rPr>
              <w:t>Rybrevant</w:t>
            </w:r>
            <w:proofErr w:type="spellEnd"/>
            <w:r w:rsidRPr="00E16744">
              <w:rPr>
                <w:rFonts w:ascii="Verdana" w:hAnsi="Verdana"/>
                <w:b/>
                <w:bCs/>
                <w:color w:val="000000"/>
              </w:rPr>
              <w:t xml:space="preserve"> </w:t>
            </w:r>
            <w:proofErr w:type="spellStart"/>
            <w:r w:rsidRPr="00E16744">
              <w:rPr>
                <w:rFonts w:ascii="Verdana" w:hAnsi="Verdana"/>
                <w:b/>
                <w:bCs/>
                <w:color w:val="000000"/>
              </w:rPr>
              <w:t>Faspro</w:t>
            </w:r>
            <w:proofErr w:type="spellEnd"/>
            <w:r w:rsidRPr="00E16744">
              <w:rPr>
                <w:rFonts w:ascii="Verdana" w:hAnsi="Verdana"/>
                <w:b/>
                <w:bCs/>
                <w:color w:val="000000"/>
              </w:rPr>
              <w:t xml:space="preserve"> </w:t>
            </w:r>
            <w:r w:rsidRPr="00E16744">
              <w:rPr>
                <w:rFonts w:ascii="Verdana" w:hAnsi="Verdana"/>
                <w:color w:val="000000"/>
              </w:rPr>
              <w:t>(</w:t>
            </w:r>
            <w:proofErr w:type="spellStart"/>
            <w:r w:rsidRPr="00E16744">
              <w:rPr>
                <w:rFonts w:ascii="Verdana" w:hAnsi="Verdana"/>
                <w:color w:val="000000"/>
              </w:rPr>
              <w:t>amivantamab</w:t>
            </w:r>
            <w:proofErr w:type="spellEnd"/>
            <w:r w:rsidRPr="00E16744">
              <w:rPr>
                <w:rFonts w:ascii="Verdana" w:hAnsi="Verdana"/>
                <w:color w:val="000000"/>
              </w:rPr>
              <w:t>-hyaluronidase) 1,600-20,000 mg-unit/10 mL &amp; 2,240-28,000 mg-unit/14 mL SQ vials for EGFR-mutated NSCLC</w:t>
            </w:r>
          </w:p>
          <w:p w14:paraId="399946F3" w14:textId="34B711CA" w:rsidR="00E031F4" w:rsidRPr="006547A2" w:rsidRDefault="00E031F4" w:rsidP="00413044">
            <w:pPr>
              <w:rPr>
                <w:rFonts w:ascii="Verdana" w:hAnsi="Verdana" w:cs="Arial"/>
              </w:rPr>
            </w:pPr>
          </w:p>
        </w:tc>
        <w:tc>
          <w:tcPr>
            <w:tcW w:w="4232" w:type="dxa"/>
            <w:shd w:val="clear" w:color="auto" w:fill="auto"/>
          </w:tcPr>
          <w:p w14:paraId="60C54535" w14:textId="77777777" w:rsidR="009530F9" w:rsidRPr="00E16744" w:rsidRDefault="009530F9" w:rsidP="009530F9">
            <w:pPr>
              <w:rPr>
                <w:rFonts w:ascii="Verdana" w:hAnsi="Verdana"/>
              </w:rPr>
            </w:pPr>
            <w:r w:rsidRPr="00E16744">
              <w:rPr>
                <w:rFonts w:ascii="Verdana" w:hAnsi="Verdana"/>
              </w:rPr>
              <w:t xml:space="preserve">This is a new formulation of </w:t>
            </w:r>
            <w:proofErr w:type="spellStart"/>
            <w:r w:rsidRPr="00E16744">
              <w:rPr>
                <w:rFonts w:ascii="Verdana" w:hAnsi="Verdana"/>
              </w:rPr>
              <w:t>amivantamab</w:t>
            </w:r>
            <w:proofErr w:type="spellEnd"/>
            <w:r w:rsidRPr="00E16744">
              <w:rPr>
                <w:rFonts w:ascii="Verdana" w:hAnsi="Verdana"/>
              </w:rPr>
              <w:t xml:space="preserve"> that allows for subcutaneous administration via addition of hyaluronidase. As with other subcutaneous hyaluronidase-based oncology formulations, this is still administered by a healthcare provider. </w:t>
            </w:r>
          </w:p>
          <w:p w14:paraId="4843AD2C" w14:textId="35C4D956" w:rsidR="00E031F4" w:rsidRPr="006547A2" w:rsidRDefault="00E031F4" w:rsidP="00413044">
            <w:pPr>
              <w:tabs>
                <w:tab w:val="left" w:pos="1125"/>
              </w:tabs>
              <w:rPr>
                <w:rFonts w:ascii="Verdana" w:hAnsi="Verdana"/>
              </w:rPr>
            </w:pPr>
          </w:p>
        </w:tc>
        <w:tc>
          <w:tcPr>
            <w:tcW w:w="4096" w:type="dxa"/>
            <w:shd w:val="clear" w:color="auto" w:fill="auto"/>
          </w:tcPr>
          <w:p w14:paraId="1C8CCCBC" w14:textId="77777777" w:rsidR="00E031F4" w:rsidRPr="00946E7B" w:rsidRDefault="00E031F4" w:rsidP="00413044">
            <w:pPr>
              <w:rPr>
                <w:rFonts w:ascii="Verdana" w:hAnsi="Verdana"/>
              </w:rPr>
            </w:pPr>
            <w:r w:rsidRPr="00946E7B">
              <w:rPr>
                <w:rFonts w:ascii="Verdana" w:hAnsi="Verdana"/>
              </w:rPr>
              <w:t>NF: all lines of business</w:t>
            </w:r>
          </w:p>
          <w:p w14:paraId="6757431B" w14:textId="08FB950D" w:rsidR="00E031F4" w:rsidRPr="006547A2" w:rsidRDefault="00E031F4" w:rsidP="00413044">
            <w:pPr>
              <w:rPr>
                <w:rFonts w:ascii="Verdana" w:hAnsi="Verdana"/>
              </w:rPr>
            </w:pPr>
          </w:p>
        </w:tc>
      </w:tr>
      <w:tr w:rsidR="00E031F4" w:rsidRPr="006547A2" w14:paraId="5CB11D2F" w14:textId="77777777" w:rsidTr="00413044">
        <w:tc>
          <w:tcPr>
            <w:tcW w:w="2589" w:type="dxa"/>
            <w:shd w:val="clear" w:color="auto" w:fill="auto"/>
          </w:tcPr>
          <w:p w14:paraId="07D72036" w14:textId="77777777" w:rsidR="009530F9" w:rsidRPr="00E16744" w:rsidRDefault="009530F9" w:rsidP="009530F9">
            <w:pPr>
              <w:rPr>
                <w:rFonts w:ascii="Verdana" w:hAnsi="Verdana"/>
                <w:color w:val="000000"/>
              </w:rPr>
            </w:pPr>
            <w:proofErr w:type="spellStart"/>
            <w:r w:rsidRPr="00E16744">
              <w:rPr>
                <w:rFonts w:ascii="Verdana" w:hAnsi="Verdana"/>
                <w:b/>
                <w:bCs/>
                <w:color w:val="000000"/>
              </w:rPr>
              <w:t>Aqvesme</w:t>
            </w:r>
            <w:proofErr w:type="spellEnd"/>
            <w:r w:rsidRPr="00E16744">
              <w:rPr>
                <w:rFonts w:ascii="Verdana" w:hAnsi="Verdana"/>
                <w:color w:val="000000"/>
              </w:rPr>
              <w:t xml:space="preserve"> (</w:t>
            </w:r>
            <w:proofErr w:type="spellStart"/>
            <w:r w:rsidRPr="00E16744">
              <w:rPr>
                <w:rFonts w:ascii="Verdana" w:hAnsi="Verdana"/>
                <w:color w:val="000000"/>
              </w:rPr>
              <w:t>mitapivat</w:t>
            </w:r>
            <w:proofErr w:type="spellEnd"/>
            <w:r w:rsidRPr="00E16744">
              <w:rPr>
                <w:rFonts w:ascii="Verdana" w:hAnsi="Verdana"/>
                <w:color w:val="000000"/>
              </w:rPr>
              <w:t>) 100 mg tablets for anemia in adults with alpha- or beta-thalassemia</w:t>
            </w:r>
          </w:p>
          <w:p w14:paraId="716722D9" w14:textId="6E3252F6" w:rsidR="00E031F4" w:rsidRPr="006547A2" w:rsidRDefault="00E031F4" w:rsidP="00413044">
            <w:pPr>
              <w:rPr>
                <w:rFonts w:ascii="Verdana" w:hAnsi="Verdana" w:cs="Arial"/>
              </w:rPr>
            </w:pPr>
          </w:p>
        </w:tc>
        <w:tc>
          <w:tcPr>
            <w:tcW w:w="4232" w:type="dxa"/>
            <w:shd w:val="clear" w:color="auto" w:fill="auto"/>
          </w:tcPr>
          <w:p w14:paraId="45A0C864" w14:textId="77777777" w:rsidR="009530F9" w:rsidRPr="00E16744" w:rsidRDefault="009530F9" w:rsidP="009530F9">
            <w:pPr>
              <w:rPr>
                <w:rFonts w:ascii="Verdana" w:hAnsi="Verdana"/>
              </w:rPr>
            </w:pPr>
            <w:r w:rsidRPr="00E16744">
              <w:rPr>
                <w:rFonts w:ascii="Verdana" w:hAnsi="Verdana"/>
              </w:rPr>
              <w:t xml:space="preserve">A new 100 mg strength of </w:t>
            </w:r>
            <w:proofErr w:type="spellStart"/>
            <w:r w:rsidRPr="00E16744">
              <w:rPr>
                <w:rFonts w:ascii="Verdana" w:hAnsi="Verdana"/>
              </w:rPr>
              <w:t>mitapivat</w:t>
            </w:r>
            <w:proofErr w:type="spellEnd"/>
            <w:r w:rsidRPr="00E16744">
              <w:rPr>
                <w:rFonts w:ascii="Verdana" w:hAnsi="Verdana"/>
              </w:rPr>
              <w:t xml:space="preserve"> </w:t>
            </w:r>
            <w:proofErr w:type="gramStart"/>
            <w:r w:rsidRPr="00E16744">
              <w:rPr>
                <w:rFonts w:ascii="Verdana" w:hAnsi="Verdana"/>
              </w:rPr>
              <w:t>recently</w:t>
            </w:r>
            <w:proofErr w:type="gramEnd"/>
            <w:r w:rsidRPr="00E16744">
              <w:rPr>
                <w:rFonts w:ascii="Verdana" w:hAnsi="Verdana"/>
              </w:rPr>
              <w:t xml:space="preserve"> launched, as branded </w:t>
            </w:r>
            <w:proofErr w:type="spellStart"/>
            <w:r w:rsidRPr="00E16744">
              <w:rPr>
                <w:rFonts w:ascii="Verdana" w:hAnsi="Verdana"/>
              </w:rPr>
              <w:t>Aqvesm</w:t>
            </w:r>
            <w:r>
              <w:rPr>
                <w:rFonts w:ascii="Verdana" w:hAnsi="Verdana"/>
              </w:rPr>
              <w:t>e</w:t>
            </w:r>
            <w:proofErr w:type="spellEnd"/>
            <w:r>
              <w:rPr>
                <w:rFonts w:ascii="Verdana" w:hAnsi="Verdana"/>
              </w:rPr>
              <w:t>.</w:t>
            </w:r>
          </w:p>
          <w:p w14:paraId="1CB0E0D6" w14:textId="7A25D67F" w:rsidR="00E031F4" w:rsidRPr="006547A2" w:rsidRDefault="00E031F4" w:rsidP="00413044">
            <w:pPr>
              <w:rPr>
                <w:rFonts w:ascii="Verdana" w:hAnsi="Verdana"/>
              </w:rPr>
            </w:pPr>
          </w:p>
        </w:tc>
        <w:tc>
          <w:tcPr>
            <w:tcW w:w="4096" w:type="dxa"/>
            <w:shd w:val="clear" w:color="auto" w:fill="auto"/>
          </w:tcPr>
          <w:p w14:paraId="2B4518FC" w14:textId="68532290" w:rsidR="00E031F4" w:rsidRPr="004D3445" w:rsidRDefault="009530F9" w:rsidP="00413044">
            <w:pPr>
              <w:rPr>
                <w:rFonts w:ascii="Verdana" w:hAnsi="Verdana"/>
              </w:rPr>
            </w:pPr>
            <w:r>
              <w:rPr>
                <w:rFonts w:ascii="Verdana" w:hAnsi="Verdana"/>
              </w:rPr>
              <w:t>N</w:t>
            </w:r>
            <w:r w:rsidR="00E031F4" w:rsidRPr="004D3445">
              <w:rPr>
                <w:rFonts w:ascii="Verdana" w:hAnsi="Verdana"/>
              </w:rPr>
              <w:t>F: all lines of business</w:t>
            </w:r>
          </w:p>
          <w:p w14:paraId="48AE2AEA" w14:textId="4B2EAEDF" w:rsidR="00E031F4" w:rsidRPr="006547A2" w:rsidRDefault="00E031F4" w:rsidP="00413044">
            <w:pPr>
              <w:rPr>
                <w:rFonts w:ascii="Verdana" w:hAnsi="Verdana"/>
              </w:rPr>
            </w:pPr>
          </w:p>
        </w:tc>
      </w:tr>
      <w:tr w:rsidR="00E031F4" w:rsidRPr="006547A2" w14:paraId="7B4252ED" w14:textId="77777777" w:rsidTr="00413044">
        <w:tc>
          <w:tcPr>
            <w:tcW w:w="2589" w:type="dxa"/>
            <w:shd w:val="clear" w:color="auto" w:fill="auto"/>
          </w:tcPr>
          <w:p w14:paraId="3EF147A2" w14:textId="77777777" w:rsidR="009530F9" w:rsidRPr="00E16744" w:rsidRDefault="009530F9" w:rsidP="009530F9">
            <w:pPr>
              <w:rPr>
                <w:rFonts w:ascii="Verdana" w:hAnsi="Verdana"/>
                <w:b/>
                <w:bCs/>
                <w:color w:val="000000"/>
              </w:rPr>
            </w:pPr>
            <w:r w:rsidRPr="00E16744">
              <w:rPr>
                <w:rFonts w:ascii="Verdana" w:hAnsi="Verdana"/>
                <w:b/>
                <w:bCs/>
                <w:color w:val="000000"/>
              </w:rPr>
              <w:t xml:space="preserve">Metoprolol tartrate </w:t>
            </w:r>
            <w:r w:rsidRPr="00E16744">
              <w:rPr>
                <w:rFonts w:ascii="Verdana" w:hAnsi="Verdana"/>
                <w:color w:val="000000"/>
              </w:rPr>
              <w:t>12.5 mg tablets for hypertension</w:t>
            </w:r>
          </w:p>
          <w:p w14:paraId="3B8963CE" w14:textId="77777777" w:rsidR="00E031F4" w:rsidRPr="004D3445" w:rsidRDefault="00E031F4" w:rsidP="00413044">
            <w:pPr>
              <w:rPr>
                <w:rFonts w:ascii="Verdana" w:hAnsi="Verdana"/>
                <w:b/>
                <w:bCs/>
                <w:color w:val="000000"/>
              </w:rPr>
            </w:pPr>
          </w:p>
        </w:tc>
        <w:tc>
          <w:tcPr>
            <w:tcW w:w="4232" w:type="dxa"/>
            <w:shd w:val="clear" w:color="auto" w:fill="auto"/>
          </w:tcPr>
          <w:p w14:paraId="7947758A" w14:textId="77777777" w:rsidR="009530F9" w:rsidRPr="00E16744" w:rsidRDefault="009530F9" w:rsidP="009530F9">
            <w:pPr>
              <w:rPr>
                <w:rFonts w:ascii="Verdana" w:hAnsi="Verdana"/>
              </w:rPr>
            </w:pPr>
            <w:r w:rsidRPr="00E16744">
              <w:rPr>
                <w:rFonts w:ascii="Verdana" w:hAnsi="Verdana"/>
              </w:rPr>
              <w:t>A brand version of metoprolol tartrate launched as 12.5 mg tablets. Due to availability of several other generic strengths of metoprolol tartrate, including MAC-protected 25 mg tablets which can be cut in half</w:t>
            </w:r>
          </w:p>
          <w:p w14:paraId="20C6B91E" w14:textId="77777777" w:rsidR="00E031F4" w:rsidRPr="004D3445" w:rsidRDefault="00E031F4" w:rsidP="00413044">
            <w:pPr>
              <w:rPr>
                <w:rFonts w:ascii="Verdana" w:hAnsi="Verdana"/>
              </w:rPr>
            </w:pPr>
          </w:p>
        </w:tc>
        <w:tc>
          <w:tcPr>
            <w:tcW w:w="4096" w:type="dxa"/>
            <w:shd w:val="clear" w:color="auto" w:fill="auto"/>
          </w:tcPr>
          <w:p w14:paraId="18AFEA8C" w14:textId="77777777" w:rsidR="00E031F4" w:rsidRPr="004D3445" w:rsidRDefault="00E031F4" w:rsidP="00413044">
            <w:pPr>
              <w:rPr>
                <w:rFonts w:ascii="Verdana" w:hAnsi="Verdana"/>
              </w:rPr>
            </w:pPr>
            <w:r w:rsidRPr="004D3445">
              <w:rPr>
                <w:rFonts w:ascii="Verdana" w:hAnsi="Verdana"/>
              </w:rPr>
              <w:t>NF: all lines of business</w:t>
            </w:r>
          </w:p>
          <w:p w14:paraId="02B8813A" w14:textId="77777777" w:rsidR="00E031F4" w:rsidRPr="004D3445" w:rsidRDefault="00E031F4" w:rsidP="00413044">
            <w:pPr>
              <w:rPr>
                <w:rFonts w:ascii="Verdana" w:hAnsi="Verdana"/>
              </w:rPr>
            </w:pPr>
          </w:p>
        </w:tc>
      </w:tr>
      <w:tr w:rsidR="00E031F4" w:rsidRPr="006547A2" w14:paraId="2475346B" w14:textId="77777777" w:rsidTr="00413044">
        <w:tc>
          <w:tcPr>
            <w:tcW w:w="2589" w:type="dxa"/>
            <w:shd w:val="clear" w:color="auto" w:fill="auto"/>
          </w:tcPr>
          <w:p w14:paraId="2D2E6456" w14:textId="77777777" w:rsidR="009530F9" w:rsidRPr="00E16744" w:rsidRDefault="009530F9" w:rsidP="009530F9">
            <w:pPr>
              <w:rPr>
                <w:rFonts w:ascii="Verdana" w:hAnsi="Verdana"/>
                <w:b/>
                <w:bCs/>
                <w:color w:val="000000"/>
              </w:rPr>
            </w:pPr>
            <w:proofErr w:type="spellStart"/>
            <w:r w:rsidRPr="00E16744">
              <w:rPr>
                <w:rFonts w:ascii="Verdana" w:hAnsi="Verdana"/>
                <w:b/>
                <w:bCs/>
                <w:color w:val="000000"/>
              </w:rPr>
              <w:lastRenderedPageBreak/>
              <w:t>Daybue</w:t>
            </w:r>
            <w:proofErr w:type="spellEnd"/>
            <w:r w:rsidRPr="00E16744">
              <w:rPr>
                <w:rFonts w:ascii="Verdana" w:hAnsi="Verdana"/>
                <w:b/>
                <w:bCs/>
                <w:color w:val="000000"/>
              </w:rPr>
              <w:t xml:space="preserve"> </w:t>
            </w:r>
            <w:r w:rsidRPr="00E16744">
              <w:rPr>
                <w:rFonts w:ascii="Verdana" w:hAnsi="Verdana"/>
                <w:color w:val="000000"/>
              </w:rPr>
              <w:t>(</w:t>
            </w:r>
            <w:proofErr w:type="spellStart"/>
            <w:r w:rsidRPr="00E16744">
              <w:rPr>
                <w:rFonts w:ascii="Verdana" w:hAnsi="Verdana"/>
                <w:color w:val="000000"/>
              </w:rPr>
              <w:t>trofinetide</w:t>
            </w:r>
            <w:proofErr w:type="spellEnd"/>
            <w:r w:rsidRPr="00E16744">
              <w:rPr>
                <w:rFonts w:ascii="Verdana" w:hAnsi="Verdana"/>
                <w:color w:val="000000"/>
              </w:rPr>
              <w:t>) 5,000, 6,000 &amp; 8,000 mg powder packets for Rett syndrome</w:t>
            </w:r>
          </w:p>
          <w:p w14:paraId="3BD6F73C" w14:textId="77777777" w:rsidR="00E031F4" w:rsidRPr="004D3445" w:rsidRDefault="00E031F4" w:rsidP="00413044">
            <w:pPr>
              <w:rPr>
                <w:rFonts w:ascii="Verdana" w:hAnsi="Verdana"/>
                <w:b/>
                <w:bCs/>
                <w:color w:val="000000"/>
              </w:rPr>
            </w:pPr>
          </w:p>
        </w:tc>
        <w:tc>
          <w:tcPr>
            <w:tcW w:w="4232" w:type="dxa"/>
            <w:shd w:val="clear" w:color="auto" w:fill="auto"/>
          </w:tcPr>
          <w:p w14:paraId="67B076C5" w14:textId="77777777" w:rsidR="009530F9" w:rsidRPr="000077D3" w:rsidRDefault="009530F9" w:rsidP="009530F9">
            <w:pPr>
              <w:rPr>
                <w:rFonts w:ascii="Verdana" w:hAnsi="Verdana"/>
              </w:rPr>
            </w:pPr>
            <w:r w:rsidRPr="000077D3">
              <w:rPr>
                <w:rFonts w:ascii="Verdana" w:hAnsi="Verdana"/>
              </w:rPr>
              <w:t xml:space="preserve">Ketoprofen capsules had previously been discontinued from the market for several years. A new manufacturer has re-launched product under the brand name </w:t>
            </w:r>
            <w:proofErr w:type="spellStart"/>
            <w:r w:rsidRPr="000077D3">
              <w:rPr>
                <w:rFonts w:ascii="Verdana" w:hAnsi="Verdana"/>
              </w:rPr>
              <w:t>Orudis</w:t>
            </w:r>
            <w:proofErr w:type="spellEnd"/>
            <w:r w:rsidRPr="000077D3">
              <w:rPr>
                <w:rFonts w:ascii="Verdana" w:hAnsi="Verdana"/>
              </w:rPr>
              <w:t>. This product is 40X higher cost than when previously available.</w:t>
            </w:r>
          </w:p>
          <w:p w14:paraId="40D78E24" w14:textId="040DAA94" w:rsidR="00E031F4" w:rsidRPr="004D3445" w:rsidRDefault="00E031F4" w:rsidP="00413044">
            <w:pPr>
              <w:rPr>
                <w:rFonts w:ascii="Verdana" w:hAnsi="Verdana"/>
              </w:rPr>
            </w:pPr>
          </w:p>
        </w:tc>
        <w:tc>
          <w:tcPr>
            <w:tcW w:w="4096" w:type="dxa"/>
            <w:shd w:val="clear" w:color="auto" w:fill="auto"/>
          </w:tcPr>
          <w:p w14:paraId="7AA25B15" w14:textId="77777777" w:rsidR="009530F9" w:rsidRPr="004D3445" w:rsidRDefault="009530F9" w:rsidP="009530F9">
            <w:pPr>
              <w:rPr>
                <w:rFonts w:ascii="Verdana" w:hAnsi="Verdana"/>
              </w:rPr>
            </w:pPr>
            <w:r w:rsidRPr="004D3445">
              <w:rPr>
                <w:rFonts w:ascii="Verdana" w:hAnsi="Verdana"/>
              </w:rPr>
              <w:t>NF: all lines of business</w:t>
            </w:r>
          </w:p>
          <w:p w14:paraId="2874D0A6" w14:textId="77777777" w:rsidR="00E031F4" w:rsidRPr="004D3445" w:rsidRDefault="00E031F4" w:rsidP="00413044">
            <w:pPr>
              <w:rPr>
                <w:rFonts w:ascii="Verdana" w:hAnsi="Verdana"/>
              </w:rPr>
            </w:pPr>
          </w:p>
        </w:tc>
      </w:tr>
      <w:tr w:rsidR="00E031F4" w:rsidRPr="006547A2" w14:paraId="3EC307C6" w14:textId="77777777" w:rsidTr="00413044">
        <w:tc>
          <w:tcPr>
            <w:tcW w:w="2589" w:type="dxa"/>
            <w:shd w:val="clear" w:color="auto" w:fill="auto"/>
          </w:tcPr>
          <w:p w14:paraId="6C97C9A1" w14:textId="77777777" w:rsidR="009530F9" w:rsidRPr="000077D3" w:rsidRDefault="009530F9" w:rsidP="009530F9">
            <w:pPr>
              <w:rPr>
                <w:rFonts w:ascii="Verdana" w:hAnsi="Verdana"/>
                <w:b/>
                <w:bCs/>
                <w:color w:val="000000"/>
              </w:rPr>
            </w:pPr>
            <w:proofErr w:type="spellStart"/>
            <w:r w:rsidRPr="000077D3">
              <w:rPr>
                <w:rFonts w:ascii="Verdana" w:hAnsi="Verdana"/>
                <w:b/>
                <w:bCs/>
                <w:color w:val="000000"/>
              </w:rPr>
              <w:t>Sdamlo</w:t>
            </w:r>
            <w:proofErr w:type="spellEnd"/>
            <w:r w:rsidRPr="000077D3">
              <w:rPr>
                <w:rFonts w:ascii="Verdana" w:hAnsi="Verdana"/>
                <w:b/>
                <w:bCs/>
                <w:color w:val="000000"/>
              </w:rPr>
              <w:t xml:space="preserve"> </w:t>
            </w:r>
            <w:r w:rsidRPr="000077D3">
              <w:rPr>
                <w:rFonts w:ascii="Verdana" w:hAnsi="Verdana"/>
                <w:color w:val="000000"/>
              </w:rPr>
              <w:t>(amlodipine) 2.5, 5, &amp; 10 mg single-dose bottles for oral solution for hypertension and coronary artery disease</w:t>
            </w:r>
          </w:p>
          <w:p w14:paraId="7AFE4C52" w14:textId="77777777" w:rsidR="00E031F4" w:rsidRPr="004D3445" w:rsidRDefault="00E031F4" w:rsidP="00413044">
            <w:pPr>
              <w:rPr>
                <w:rFonts w:ascii="Verdana" w:hAnsi="Verdana"/>
                <w:b/>
                <w:bCs/>
                <w:color w:val="000000"/>
              </w:rPr>
            </w:pPr>
          </w:p>
        </w:tc>
        <w:tc>
          <w:tcPr>
            <w:tcW w:w="4232" w:type="dxa"/>
            <w:shd w:val="clear" w:color="auto" w:fill="auto"/>
          </w:tcPr>
          <w:p w14:paraId="597354E5" w14:textId="77777777" w:rsidR="009530F9" w:rsidRPr="000077D3" w:rsidRDefault="009530F9" w:rsidP="009530F9">
            <w:pPr>
              <w:rPr>
                <w:rFonts w:ascii="Verdana" w:hAnsi="Verdana"/>
              </w:rPr>
            </w:pPr>
            <w:proofErr w:type="spellStart"/>
            <w:r w:rsidRPr="000077D3">
              <w:rPr>
                <w:rFonts w:ascii="Verdana" w:hAnsi="Verdana"/>
              </w:rPr>
              <w:t>Sdamlo</w:t>
            </w:r>
            <w:proofErr w:type="spellEnd"/>
            <w:r w:rsidRPr="000077D3">
              <w:rPr>
                <w:rFonts w:ascii="Verdana" w:hAnsi="Verdana"/>
              </w:rPr>
              <w:t xml:space="preserve"> is a new amlodipine powder for oral suspension product, which is unique in that it is available in single-dose cups that can be mixed at home.</w:t>
            </w:r>
          </w:p>
          <w:p w14:paraId="08C2DEE1" w14:textId="1B55B0F5" w:rsidR="00E031F4" w:rsidRPr="004D3445" w:rsidRDefault="00E031F4" w:rsidP="00413044">
            <w:pPr>
              <w:rPr>
                <w:rFonts w:ascii="Verdana" w:hAnsi="Verdana"/>
              </w:rPr>
            </w:pPr>
          </w:p>
        </w:tc>
        <w:tc>
          <w:tcPr>
            <w:tcW w:w="4096" w:type="dxa"/>
            <w:shd w:val="clear" w:color="auto" w:fill="auto"/>
          </w:tcPr>
          <w:p w14:paraId="0A2423DF" w14:textId="77777777" w:rsidR="00E031F4" w:rsidRPr="004D3445" w:rsidRDefault="00E031F4" w:rsidP="00413044">
            <w:pPr>
              <w:rPr>
                <w:rFonts w:ascii="Verdana" w:hAnsi="Verdana"/>
              </w:rPr>
            </w:pPr>
            <w:r w:rsidRPr="004D3445">
              <w:rPr>
                <w:rFonts w:ascii="Verdana" w:hAnsi="Verdana"/>
              </w:rPr>
              <w:t>NF: all lines of business</w:t>
            </w:r>
          </w:p>
          <w:p w14:paraId="36ED0AC5" w14:textId="77777777" w:rsidR="00E031F4" w:rsidRPr="004D3445" w:rsidRDefault="00E031F4" w:rsidP="00413044">
            <w:pPr>
              <w:rPr>
                <w:rFonts w:ascii="Verdana" w:hAnsi="Verdana"/>
              </w:rPr>
            </w:pPr>
          </w:p>
        </w:tc>
      </w:tr>
      <w:tr w:rsidR="00E031F4" w:rsidRPr="006547A2" w14:paraId="66C12403" w14:textId="77777777" w:rsidTr="00413044">
        <w:tc>
          <w:tcPr>
            <w:tcW w:w="2589" w:type="dxa"/>
            <w:shd w:val="clear" w:color="auto" w:fill="auto"/>
          </w:tcPr>
          <w:p w14:paraId="2F0C80CB" w14:textId="77777777" w:rsidR="009530F9" w:rsidRPr="000077D3" w:rsidRDefault="009530F9" w:rsidP="009530F9">
            <w:pPr>
              <w:rPr>
                <w:rFonts w:ascii="Verdana" w:hAnsi="Verdana"/>
                <w:b/>
                <w:bCs/>
                <w:color w:val="000000"/>
              </w:rPr>
            </w:pPr>
            <w:proofErr w:type="spellStart"/>
            <w:r w:rsidRPr="000077D3">
              <w:rPr>
                <w:rFonts w:ascii="Verdana" w:hAnsi="Verdana"/>
                <w:b/>
                <w:bCs/>
                <w:color w:val="000000"/>
              </w:rPr>
              <w:t>Lunsumio</w:t>
            </w:r>
            <w:proofErr w:type="spellEnd"/>
            <w:r w:rsidRPr="000077D3">
              <w:rPr>
                <w:rFonts w:ascii="Verdana" w:hAnsi="Verdana"/>
                <w:b/>
                <w:bCs/>
                <w:color w:val="000000"/>
              </w:rPr>
              <w:t xml:space="preserve"> Velo </w:t>
            </w:r>
            <w:r w:rsidRPr="000077D3">
              <w:rPr>
                <w:rFonts w:ascii="Verdana" w:hAnsi="Verdana"/>
                <w:color w:val="000000"/>
              </w:rPr>
              <w:t>(</w:t>
            </w:r>
            <w:proofErr w:type="spellStart"/>
            <w:r w:rsidRPr="000077D3">
              <w:rPr>
                <w:rFonts w:ascii="Verdana" w:hAnsi="Verdana"/>
                <w:color w:val="000000"/>
              </w:rPr>
              <w:t>mosunetuzumab</w:t>
            </w:r>
            <w:proofErr w:type="spellEnd"/>
            <w:r w:rsidRPr="000077D3">
              <w:rPr>
                <w:rFonts w:ascii="Verdana" w:hAnsi="Verdana"/>
                <w:color w:val="000000"/>
              </w:rPr>
              <w:t>) 5 mg/0.5 mL &amp; 45 mg/mL SQ vials for follicular lymphoma</w:t>
            </w:r>
          </w:p>
          <w:p w14:paraId="7592CD66" w14:textId="77777777" w:rsidR="00E031F4" w:rsidRPr="004D3445" w:rsidRDefault="00E031F4" w:rsidP="00413044">
            <w:pPr>
              <w:rPr>
                <w:rFonts w:ascii="Verdana" w:hAnsi="Verdana"/>
                <w:b/>
                <w:bCs/>
                <w:color w:val="000000"/>
              </w:rPr>
            </w:pPr>
          </w:p>
        </w:tc>
        <w:tc>
          <w:tcPr>
            <w:tcW w:w="4232" w:type="dxa"/>
            <w:shd w:val="clear" w:color="auto" w:fill="auto"/>
          </w:tcPr>
          <w:p w14:paraId="0C5B9818" w14:textId="77777777" w:rsidR="009530F9" w:rsidRPr="000077D3" w:rsidRDefault="009530F9" w:rsidP="009530F9">
            <w:pPr>
              <w:rPr>
                <w:rFonts w:ascii="Verdana" w:hAnsi="Verdana"/>
              </w:rPr>
            </w:pPr>
            <w:r w:rsidRPr="000077D3">
              <w:rPr>
                <w:rFonts w:ascii="Verdana" w:hAnsi="Verdana"/>
              </w:rPr>
              <w:t xml:space="preserve">A subcutaneously administered version of </w:t>
            </w:r>
            <w:proofErr w:type="spellStart"/>
            <w:r w:rsidRPr="000077D3">
              <w:rPr>
                <w:rFonts w:ascii="Verdana" w:hAnsi="Verdana"/>
              </w:rPr>
              <w:t>Lunsumio</w:t>
            </w:r>
            <w:proofErr w:type="spellEnd"/>
            <w:r w:rsidRPr="000077D3">
              <w:rPr>
                <w:rFonts w:ascii="Verdana" w:hAnsi="Verdana"/>
              </w:rPr>
              <w:t xml:space="preserve"> (</w:t>
            </w:r>
            <w:proofErr w:type="spellStart"/>
            <w:r w:rsidRPr="000077D3">
              <w:rPr>
                <w:rFonts w:ascii="Verdana" w:hAnsi="Verdana"/>
              </w:rPr>
              <w:t>mosunetuzumab</w:t>
            </w:r>
            <w:proofErr w:type="spellEnd"/>
            <w:r w:rsidRPr="000077D3">
              <w:rPr>
                <w:rFonts w:ascii="Verdana" w:hAnsi="Verdana"/>
              </w:rPr>
              <w:t xml:space="preserve">) recently launched, under the name </w:t>
            </w:r>
            <w:proofErr w:type="spellStart"/>
            <w:r w:rsidRPr="000077D3">
              <w:rPr>
                <w:rFonts w:ascii="Verdana" w:hAnsi="Verdana"/>
              </w:rPr>
              <w:t>Lunsumio</w:t>
            </w:r>
            <w:proofErr w:type="spellEnd"/>
            <w:r w:rsidRPr="000077D3">
              <w:rPr>
                <w:rFonts w:ascii="Verdana" w:hAnsi="Verdana"/>
              </w:rPr>
              <w:t xml:space="preserve"> Velo. Both </w:t>
            </w:r>
            <w:proofErr w:type="spellStart"/>
            <w:r w:rsidRPr="000077D3">
              <w:rPr>
                <w:rFonts w:ascii="Verdana" w:hAnsi="Verdana"/>
              </w:rPr>
              <w:t>mosunetuzumab</w:t>
            </w:r>
            <w:proofErr w:type="spellEnd"/>
            <w:r w:rsidRPr="000077D3">
              <w:rPr>
                <w:rFonts w:ascii="Verdana" w:hAnsi="Verdana"/>
              </w:rPr>
              <w:t xml:space="preserve"> products must be administered by a healthcare professional</w:t>
            </w:r>
          </w:p>
          <w:p w14:paraId="1BDEB3A6" w14:textId="77777777" w:rsidR="00E031F4" w:rsidRPr="004D3445" w:rsidRDefault="00E031F4" w:rsidP="00413044">
            <w:pPr>
              <w:rPr>
                <w:rFonts w:ascii="Verdana" w:hAnsi="Verdana"/>
              </w:rPr>
            </w:pPr>
          </w:p>
        </w:tc>
        <w:tc>
          <w:tcPr>
            <w:tcW w:w="4096" w:type="dxa"/>
            <w:shd w:val="clear" w:color="auto" w:fill="auto"/>
          </w:tcPr>
          <w:p w14:paraId="66354D59" w14:textId="77777777" w:rsidR="00E031F4" w:rsidRPr="004D3445" w:rsidRDefault="00E031F4" w:rsidP="00413044">
            <w:pPr>
              <w:rPr>
                <w:rFonts w:ascii="Verdana" w:hAnsi="Verdana"/>
              </w:rPr>
            </w:pPr>
            <w:r w:rsidRPr="004D3445">
              <w:rPr>
                <w:rFonts w:ascii="Verdana" w:hAnsi="Verdana"/>
              </w:rPr>
              <w:t>NF: all lines of business</w:t>
            </w:r>
          </w:p>
          <w:p w14:paraId="499EA8DE" w14:textId="77777777" w:rsidR="00E031F4" w:rsidRPr="004D3445" w:rsidRDefault="00E031F4" w:rsidP="00413044">
            <w:pPr>
              <w:rPr>
                <w:rFonts w:ascii="Verdana" w:hAnsi="Verdana"/>
              </w:rPr>
            </w:pPr>
          </w:p>
        </w:tc>
      </w:tr>
    </w:tbl>
    <w:p w14:paraId="36A9C293" w14:textId="40291E6A" w:rsidR="00255A16" w:rsidRPr="00852F8C" w:rsidRDefault="00413044" w:rsidP="00E32DDA">
      <w:pPr>
        <w:rPr>
          <w:rFonts w:ascii="Verdana" w:eastAsia="Times New Roman" w:hAnsi="Verdana" w:cs="Arial"/>
          <w:b/>
          <w:sz w:val="20"/>
          <w:szCs w:val="20"/>
        </w:rPr>
      </w:pPr>
      <w:r>
        <w:rPr>
          <w:rFonts w:ascii="Verdana" w:eastAsia="Times New Roman" w:hAnsi="Verdana" w:cs="Arial"/>
          <w:b/>
          <w:sz w:val="20"/>
          <w:szCs w:val="20"/>
        </w:rPr>
        <w:br w:type="textWrapping" w:clear="all"/>
      </w:r>
    </w:p>
    <w:tbl>
      <w:tblPr>
        <w:tblStyle w:val="LightList-Accent5"/>
        <w:tblW w:w="10890" w:type="dxa"/>
        <w:tblInd w:w="-9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10890"/>
      </w:tblGrid>
      <w:tr w:rsidR="000A6E31" w:rsidRPr="00852F8C" w14:paraId="5A3864ED" w14:textId="77777777" w:rsidTr="00441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shd w:val="clear" w:color="auto" w:fill="00205B"/>
          </w:tcPr>
          <w:bookmarkEnd w:id="1"/>
          <w:p w14:paraId="661BF950" w14:textId="77777777" w:rsidR="000A6E31" w:rsidRPr="00852F8C" w:rsidRDefault="000A6E31" w:rsidP="005247AA">
            <w:pPr>
              <w:spacing w:after="240"/>
              <w:rPr>
                <w:rFonts w:ascii="Verdana" w:eastAsia="Times New Roman" w:hAnsi="Verdana" w:cs="Arial"/>
                <w:b w:val="0"/>
                <w:sz w:val="20"/>
                <w:szCs w:val="20"/>
              </w:rPr>
            </w:pPr>
            <w:r w:rsidRPr="00852F8C">
              <w:rPr>
                <w:rFonts w:ascii="Verdana" w:eastAsia="Times New Roman" w:hAnsi="Verdana" w:cs="Arial"/>
                <w:sz w:val="20"/>
                <w:szCs w:val="20"/>
              </w:rPr>
              <w:t xml:space="preserve">Additional Items Reviewed </w:t>
            </w:r>
          </w:p>
        </w:tc>
      </w:tr>
    </w:tbl>
    <w:tbl>
      <w:tblPr>
        <w:tblStyle w:val="TableGrid"/>
        <w:tblW w:w="10890" w:type="dxa"/>
        <w:tblInd w:w="-95" w:type="dxa"/>
        <w:tblLook w:val="04A0" w:firstRow="1" w:lastRow="0" w:firstColumn="1" w:lastColumn="0" w:noHBand="0" w:noVBand="1"/>
      </w:tblPr>
      <w:tblGrid>
        <w:gridCol w:w="2520"/>
        <w:gridCol w:w="8370"/>
      </w:tblGrid>
      <w:tr w:rsidR="000A6E31" w:rsidRPr="00852F8C" w14:paraId="4588D2D6" w14:textId="77777777" w:rsidTr="001C0339">
        <w:tc>
          <w:tcPr>
            <w:tcW w:w="2520" w:type="dxa"/>
          </w:tcPr>
          <w:p w14:paraId="4084C365" w14:textId="77777777" w:rsidR="000A6E31" w:rsidRPr="00852F8C" w:rsidRDefault="000A6E31" w:rsidP="005247AA">
            <w:pPr>
              <w:spacing w:after="240"/>
              <w:rPr>
                <w:rFonts w:ascii="Verdana" w:eastAsia="Times New Roman" w:hAnsi="Verdana" w:cs="Arial"/>
                <w:b/>
                <w:sz w:val="20"/>
                <w:szCs w:val="20"/>
              </w:rPr>
            </w:pPr>
            <w:r w:rsidRPr="00852F8C">
              <w:rPr>
                <w:rFonts w:ascii="Verdana" w:hAnsi="Verdana"/>
                <w:b/>
                <w:bCs/>
                <w:sz w:val="20"/>
                <w:szCs w:val="20"/>
              </w:rPr>
              <w:t>Item</w:t>
            </w:r>
          </w:p>
        </w:tc>
        <w:tc>
          <w:tcPr>
            <w:tcW w:w="8370" w:type="dxa"/>
          </w:tcPr>
          <w:p w14:paraId="4048D7BA" w14:textId="1A200632" w:rsidR="000A6E31" w:rsidRPr="00852F8C" w:rsidRDefault="00822707" w:rsidP="005247AA">
            <w:pPr>
              <w:spacing w:after="240"/>
              <w:rPr>
                <w:rFonts w:ascii="Verdana" w:hAnsi="Verdana"/>
                <w:b/>
                <w:bCs/>
                <w:sz w:val="20"/>
                <w:szCs w:val="20"/>
              </w:rPr>
            </w:pPr>
            <w:r>
              <w:rPr>
                <w:rFonts w:ascii="Verdana" w:hAnsi="Verdana"/>
                <w:b/>
                <w:bCs/>
                <w:sz w:val="20"/>
                <w:szCs w:val="20"/>
              </w:rPr>
              <w:t>Drugs with New Policies</w:t>
            </w:r>
          </w:p>
        </w:tc>
      </w:tr>
      <w:tr w:rsidR="00822707" w:rsidRPr="00852F8C" w14:paraId="689CEF80" w14:textId="77777777" w:rsidTr="00347888">
        <w:trPr>
          <w:trHeight w:val="377"/>
        </w:trPr>
        <w:tc>
          <w:tcPr>
            <w:tcW w:w="2520" w:type="dxa"/>
          </w:tcPr>
          <w:p w14:paraId="0A40655A" w14:textId="06A22855" w:rsidR="00822707" w:rsidRDefault="00822707" w:rsidP="00822707">
            <w:pPr>
              <w:rPr>
                <w:rFonts w:ascii="Verdana" w:hAnsi="Verdana" w:cs="Times New Roman"/>
                <w:bCs/>
              </w:rPr>
            </w:pPr>
            <w:r w:rsidRPr="006547A2">
              <w:rPr>
                <w:rFonts w:ascii="Verdana" w:hAnsi="Verdana" w:cs="Times New Roman"/>
                <w:bCs/>
              </w:rPr>
              <w:t xml:space="preserve">New Medical Drug Policies (effective </w:t>
            </w:r>
            <w:r w:rsidR="00413044">
              <w:rPr>
                <w:rFonts w:ascii="Verdana" w:hAnsi="Verdana" w:cs="Times New Roman"/>
                <w:bCs/>
              </w:rPr>
              <w:t>0</w:t>
            </w:r>
            <w:r w:rsidR="00E53BF8">
              <w:rPr>
                <w:rFonts w:ascii="Verdana" w:hAnsi="Verdana" w:cs="Times New Roman"/>
                <w:bCs/>
              </w:rPr>
              <w:t>5</w:t>
            </w:r>
            <w:r w:rsidR="00413044">
              <w:rPr>
                <w:rFonts w:ascii="Verdana" w:hAnsi="Verdana" w:cs="Times New Roman"/>
                <w:bCs/>
              </w:rPr>
              <w:t>/</w:t>
            </w:r>
            <w:r w:rsidR="00E53BF8">
              <w:rPr>
                <w:rFonts w:ascii="Verdana" w:hAnsi="Verdana" w:cs="Times New Roman"/>
                <w:bCs/>
              </w:rPr>
              <w:t>15</w:t>
            </w:r>
            <w:r w:rsidRPr="006547A2">
              <w:rPr>
                <w:rFonts w:ascii="Verdana" w:hAnsi="Verdana" w:cs="Times New Roman"/>
                <w:bCs/>
              </w:rPr>
              <w:t>/202</w:t>
            </w:r>
            <w:r w:rsidR="00413044">
              <w:rPr>
                <w:rFonts w:ascii="Verdana" w:hAnsi="Verdana" w:cs="Times New Roman"/>
                <w:bCs/>
              </w:rPr>
              <w:t>6</w:t>
            </w:r>
            <w:r w:rsidRPr="006547A2">
              <w:rPr>
                <w:rFonts w:ascii="Verdana" w:hAnsi="Verdana" w:cs="Times New Roman"/>
                <w:bCs/>
              </w:rPr>
              <w:t>)</w:t>
            </w:r>
          </w:p>
          <w:p w14:paraId="47B4D3B8" w14:textId="77777777" w:rsidR="00C56DA1" w:rsidRDefault="00C56DA1" w:rsidP="00822707">
            <w:pPr>
              <w:rPr>
                <w:rFonts w:ascii="Verdana" w:hAnsi="Verdana" w:cs="Times New Roman"/>
                <w:bCs/>
              </w:rPr>
            </w:pPr>
          </w:p>
          <w:p w14:paraId="166089E0" w14:textId="252CE866" w:rsidR="00C56DA1" w:rsidRPr="006547A2" w:rsidRDefault="00C56DA1" w:rsidP="00822707">
            <w:pPr>
              <w:rPr>
                <w:rFonts w:ascii="Verdana" w:hAnsi="Verdana" w:cs="Times New Roman"/>
                <w:bCs/>
              </w:rPr>
            </w:pPr>
          </w:p>
        </w:tc>
        <w:tc>
          <w:tcPr>
            <w:tcW w:w="8370" w:type="dxa"/>
          </w:tcPr>
          <w:p w14:paraId="3E6044BB" w14:textId="0C2FA07B" w:rsidR="00413044" w:rsidRPr="00413044" w:rsidRDefault="0074141E" w:rsidP="00D337DA">
            <w:pPr>
              <w:pStyle w:val="ListParagraph"/>
              <w:numPr>
                <w:ilvl w:val="0"/>
                <w:numId w:val="27"/>
              </w:numPr>
              <w:rPr>
                <w:rFonts w:ascii="Verdana" w:hAnsi="Verdana" w:cs="Times New Roman"/>
                <w:bCs/>
              </w:rPr>
            </w:pPr>
            <w:proofErr w:type="spellStart"/>
            <w:r>
              <w:rPr>
                <w:rFonts w:ascii="Verdana" w:hAnsi="Verdana"/>
                <w:bCs/>
              </w:rPr>
              <w:t>Exdensur</w:t>
            </w:r>
            <w:proofErr w:type="spellEnd"/>
          </w:p>
          <w:p w14:paraId="3217CC5B" w14:textId="5B7EF547" w:rsidR="0074141E" w:rsidRPr="0074141E" w:rsidRDefault="0074141E" w:rsidP="00D337DA">
            <w:pPr>
              <w:pStyle w:val="ListParagraph"/>
              <w:numPr>
                <w:ilvl w:val="0"/>
                <w:numId w:val="27"/>
              </w:numPr>
              <w:rPr>
                <w:rFonts w:ascii="Verdana" w:hAnsi="Verdana" w:cs="Times New Roman"/>
                <w:bCs/>
              </w:rPr>
            </w:pPr>
            <w:proofErr w:type="spellStart"/>
            <w:r>
              <w:rPr>
                <w:rFonts w:ascii="Verdana" w:hAnsi="Verdana" w:cs="Times New Roman"/>
                <w:bCs/>
              </w:rPr>
              <w:t>Itvisma</w:t>
            </w:r>
            <w:proofErr w:type="spellEnd"/>
          </w:p>
          <w:p w14:paraId="35508357" w14:textId="3DB22015" w:rsidR="00413044" w:rsidRPr="00413044" w:rsidRDefault="0074141E" w:rsidP="00D337DA">
            <w:pPr>
              <w:pStyle w:val="ListParagraph"/>
              <w:numPr>
                <w:ilvl w:val="0"/>
                <w:numId w:val="27"/>
              </w:numPr>
              <w:rPr>
                <w:rFonts w:ascii="Verdana" w:hAnsi="Verdana" w:cs="Times New Roman"/>
                <w:bCs/>
              </w:rPr>
            </w:pPr>
            <w:proofErr w:type="spellStart"/>
            <w:r>
              <w:rPr>
                <w:rFonts w:ascii="Verdana" w:hAnsi="Verdana"/>
                <w:bCs/>
              </w:rPr>
              <w:t>Lunsumio</w:t>
            </w:r>
            <w:proofErr w:type="spellEnd"/>
            <w:r>
              <w:rPr>
                <w:rFonts w:ascii="Verdana" w:hAnsi="Verdana"/>
                <w:bCs/>
              </w:rPr>
              <w:t xml:space="preserve"> Velo</w:t>
            </w:r>
          </w:p>
          <w:p w14:paraId="7301CA2A" w14:textId="77777777" w:rsidR="00FB700B" w:rsidRPr="0074141E" w:rsidRDefault="0074141E" w:rsidP="0074141E">
            <w:pPr>
              <w:pStyle w:val="ListParagraph"/>
              <w:numPr>
                <w:ilvl w:val="0"/>
                <w:numId w:val="27"/>
              </w:numPr>
              <w:rPr>
                <w:rFonts w:ascii="Verdana" w:hAnsi="Verdana" w:cs="Times New Roman"/>
                <w:sz w:val="20"/>
                <w:szCs w:val="20"/>
              </w:rPr>
            </w:pPr>
            <w:proofErr w:type="spellStart"/>
            <w:r>
              <w:rPr>
                <w:rFonts w:ascii="Verdana" w:hAnsi="Verdana"/>
                <w:bCs/>
              </w:rPr>
              <w:t>Rybrevant</w:t>
            </w:r>
            <w:proofErr w:type="spellEnd"/>
            <w:r>
              <w:rPr>
                <w:rFonts w:ascii="Verdana" w:hAnsi="Verdana"/>
                <w:bCs/>
              </w:rPr>
              <w:t xml:space="preserve"> </w:t>
            </w:r>
            <w:proofErr w:type="spellStart"/>
            <w:r>
              <w:rPr>
                <w:rFonts w:ascii="Verdana" w:hAnsi="Verdana"/>
                <w:bCs/>
              </w:rPr>
              <w:t>Faspro</w:t>
            </w:r>
            <w:proofErr w:type="spellEnd"/>
          </w:p>
          <w:p w14:paraId="1096147E" w14:textId="04AAE988" w:rsidR="0074141E" w:rsidRPr="00AB7540" w:rsidRDefault="0074141E" w:rsidP="0074141E">
            <w:pPr>
              <w:pStyle w:val="ListParagraph"/>
              <w:numPr>
                <w:ilvl w:val="0"/>
                <w:numId w:val="27"/>
              </w:numPr>
              <w:rPr>
                <w:rFonts w:ascii="Verdana" w:hAnsi="Verdana" w:cs="Times New Roman"/>
                <w:sz w:val="20"/>
                <w:szCs w:val="20"/>
              </w:rPr>
            </w:pPr>
            <w:proofErr w:type="spellStart"/>
            <w:r>
              <w:rPr>
                <w:rFonts w:ascii="Verdana" w:hAnsi="Verdana"/>
                <w:sz w:val="20"/>
                <w:szCs w:val="20"/>
              </w:rPr>
              <w:t>Yartemlea</w:t>
            </w:r>
            <w:proofErr w:type="spellEnd"/>
          </w:p>
        </w:tc>
      </w:tr>
    </w:tbl>
    <w:p w14:paraId="4396F646" w14:textId="77777777" w:rsidR="004A4967" w:rsidRPr="0008291B" w:rsidRDefault="004A4967" w:rsidP="004A4967">
      <w:pPr>
        <w:rPr>
          <w:rFonts w:ascii="Verdana" w:eastAsia="Times New Roman" w:hAnsi="Verdana" w:cs="Arial"/>
          <w:sz w:val="20"/>
          <w:szCs w:val="20"/>
        </w:rPr>
      </w:pPr>
    </w:p>
    <w:sectPr w:rsidR="004A4967" w:rsidRPr="0008291B" w:rsidSect="00E70EBB">
      <w:headerReference w:type="default" r:id="rId8"/>
      <w:footerReference w:type="default" r:id="rId9"/>
      <w:type w:val="continuous"/>
      <w:pgSz w:w="12240" w:h="15840"/>
      <w:pgMar w:top="720" w:right="720" w:bottom="720" w:left="720" w:header="720"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6F1D" w14:textId="77777777" w:rsidR="001E0B7A" w:rsidRDefault="001E0B7A">
      <w:r>
        <w:separator/>
      </w:r>
    </w:p>
  </w:endnote>
  <w:endnote w:type="continuationSeparator" w:id="0">
    <w:p w14:paraId="00004FC0" w14:textId="77777777" w:rsidR="001E0B7A" w:rsidRDefault="001E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73631"/>
      <w:docPartObj>
        <w:docPartGallery w:val="Page Numbers (Bottom of Page)"/>
        <w:docPartUnique/>
      </w:docPartObj>
    </w:sdtPr>
    <w:sdtEndPr>
      <w:rPr>
        <w:noProof/>
      </w:rPr>
    </w:sdtEndPr>
    <w:sdtContent>
      <w:p w14:paraId="4A19AB9F" w14:textId="223CE295" w:rsidR="00E24624" w:rsidRDefault="00E246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F77D4" w14:textId="44197675" w:rsidR="003F1B83" w:rsidRPr="00E24624" w:rsidRDefault="003F1B83" w:rsidP="00E24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04DA" w14:textId="77777777" w:rsidR="001E0B7A" w:rsidRDefault="001E0B7A">
      <w:r>
        <w:separator/>
      </w:r>
    </w:p>
  </w:footnote>
  <w:footnote w:type="continuationSeparator" w:id="0">
    <w:p w14:paraId="48C996A1" w14:textId="77777777" w:rsidR="001E0B7A" w:rsidRDefault="001E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51D4" w14:textId="19B38D68" w:rsidR="003F1B83" w:rsidRDefault="003F1B83" w:rsidP="007813ED">
    <w:pPr>
      <w:spacing w:before="24"/>
      <w:ind w:right="-20"/>
      <w:jc w:val="center"/>
      <w:rPr>
        <w:rFonts w:ascii="Verdana" w:hAnsi="Verdana"/>
        <w:b/>
        <w:noProof/>
        <w:sz w:val="28"/>
        <w:szCs w:val="28"/>
      </w:rPr>
    </w:pPr>
    <w:r w:rsidRPr="007813ED">
      <w:rPr>
        <w:rFonts w:ascii="Verdana" w:hAnsi="Verdana"/>
        <w:i/>
        <w:iCs/>
        <w:noProof/>
        <w:color w:val="1F497D"/>
        <w:sz w:val="28"/>
        <w:szCs w:val="28"/>
      </w:rPr>
      <w:drawing>
        <wp:anchor distT="0" distB="0" distL="114300" distR="114300" simplePos="0" relativeHeight="251659264" behindDoc="0" locked="0" layoutInCell="1" allowOverlap="1" wp14:anchorId="435F0FDD" wp14:editId="4F530742">
          <wp:simplePos x="0" y="0"/>
          <wp:positionH relativeFrom="margin">
            <wp:posOffset>-352425</wp:posOffset>
          </wp:positionH>
          <wp:positionV relativeFrom="paragraph">
            <wp:posOffset>-336550</wp:posOffset>
          </wp:positionV>
          <wp:extent cx="1914525" cy="400050"/>
          <wp:effectExtent l="0" t="0" r="9525" b="0"/>
          <wp:wrapNone/>
          <wp:docPr id="1"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4525" cy="400050"/>
                  </a:xfrm>
                  <a:prstGeom prst="rect">
                    <a:avLst/>
                  </a:prstGeom>
                  <a:noFill/>
                  <a:ln>
                    <a:noFill/>
                  </a:ln>
                </pic:spPr>
              </pic:pic>
            </a:graphicData>
          </a:graphic>
        </wp:anchor>
      </w:drawing>
    </w:r>
  </w:p>
  <w:p w14:paraId="495AC958" w14:textId="6A9FF11F" w:rsidR="003F1B83" w:rsidRPr="00C06728" w:rsidRDefault="00365EDB" w:rsidP="00080E04">
    <w:pPr>
      <w:spacing w:before="24"/>
      <w:ind w:right="-20"/>
      <w:jc w:val="center"/>
      <w:rPr>
        <w:rFonts w:ascii="Verdana" w:hAnsi="Verdana"/>
        <w:b/>
        <w:noProof/>
        <w:sz w:val="24"/>
        <w:szCs w:val="24"/>
      </w:rPr>
    </w:pPr>
    <w:r>
      <w:rPr>
        <w:rFonts w:ascii="Verdana" w:hAnsi="Verdana"/>
        <w:b/>
        <w:noProof/>
        <w:sz w:val="24"/>
        <w:szCs w:val="24"/>
      </w:rPr>
      <w:t>March 2026</w:t>
    </w:r>
    <w:r w:rsidR="003F1B83" w:rsidRPr="00C06728">
      <w:rPr>
        <w:rFonts w:ascii="Verdana" w:eastAsia="Times New Roman" w:hAnsi="Verdana" w:cs="Times New Roman"/>
        <w:b/>
        <w:bCs/>
        <w:spacing w:val="-1"/>
        <w:sz w:val="24"/>
        <w:szCs w:val="24"/>
      </w:rPr>
      <w:t xml:space="preserve"> Pharmacy &amp; </w:t>
    </w:r>
    <w:r w:rsidR="003F1B83" w:rsidRPr="00C06728">
      <w:rPr>
        <w:rFonts w:ascii="Verdana" w:eastAsia="Times New Roman" w:hAnsi="Verdana" w:cs="Times New Roman"/>
        <w:b/>
        <w:bCs/>
        <w:sz w:val="24"/>
        <w:szCs w:val="24"/>
      </w:rPr>
      <w:t>Therapeutics</w:t>
    </w:r>
  </w:p>
  <w:p w14:paraId="3AEB01D9" w14:textId="19FDB444" w:rsidR="003F1B83" w:rsidRDefault="003F1B83" w:rsidP="007813ED">
    <w:pPr>
      <w:spacing w:before="24"/>
      <w:ind w:right="-20"/>
      <w:jc w:val="center"/>
      <w:rPr>
        <w:rFonts w:ascii="Verdana" w:eastAsia="Times New Roman" w:hAnsi="Verdana" w:cs="Times New Roman"/>
        <w:b/>
        <w:bCs/>
        <w:sz w:val="24"/>
        <w:szCs w:val="24"/>
      </w:rPr>
    </w:pPr>
    <w:r w:rsidRPr="00C06728">
      <w:rPr>
        <w:rFonts w:ascii="Verdana" w:eastAsia="Times New Roman" w:hAnsi="Verdana" w:cs="Times New Roman"/>
        <w:b/>
        <w:bCs/>
        <w:spacing w:val="-2"/>
        <w:sz w:val="24"/>
        <w:szCs w:val="24"/>
      </w:rPr>
      <w:t>C</w:t>
    </w:r>
    <w:r w:rsidRPr="00C06728">
      <w:rPr>
        <w:rFonts w:ascii="Verdana" w:eastAsia="Times New Roman" w:hAnsi="Verdana" w:cs="Times New Roman"/>
        <w:b/>
        <w:bCs/>
        <w:spacing w:val="2"/>
        <w:sz w:val="24"/>
        <w:szCs w:val="24"/>
      </w:rPr>
      <w:t>o</w:t>
    </w:r>
    <w:r w:rsidRPr="00C06728">
      <w:rPr>
        <w:rFonts w:ascii="Verdana" w:eastAsia="Times New Roman" w:hAnsi="Verdana" w:cs="Times New Roman"/>
        <w:b/>
        <w:bCs/>
        <w:spacing w:val="-1"/>
        <w:sz w:val="24"/>
        <w:szCs w:val="24"/>
      </w:rPr>
      <w:t>m</w:t>
    </w:r>
    <w:r w:rsidRPr="00C06728">
      <w:rPr>
        <w:rFonts w:ascii="Verdana" w:eastAsia="Times New Roman" w:hAnsi="Verdana" w:cs="Times New Roman"/>
        <w:b/>
        <w:bCs/>
        <w:spacing w:val="-3"/>
        <w:sz w:val="24"/>
        <w:szCs w:val="24"/>
      </w:rPr>
      <w:t>m</w:t>
    </w:r>
    <w:r w:rsidRPr="00C06728">
      <w:rPr>
        <w:rFonts w:ascii="Verdana" w:eastAsia="Times New Roman" w:hAnsi="Verdana" w:cs="Times New Roman"/>
        <w:b/>
        <w:bCs/>
        <w:spacing w:val="1"/>
        <w:sz w:val="24"/>
        <w:szCs w:val="24"/>
      </w:rPr>
      <w:t>i</w:t>
    </w:r>
    <w:r w:rsidRPr="00C06728">
      <w:rPr>
        <w:rFonts w:ascii="Verdana" w:eastAsia="Times New Roman" w:hAnsi="Verdana" w:cs="Times New Roman"/>
        <w:b/>
        <w:bCs/>
        <w:sz w:val="24"/>
        <w:szCs w:val="24"/>
      </w:rPr>
      <w:t xml:space="preserve">ttee </w:t>
    </w:r>
    <w:r w:rsidRPr="00C06728">
      <w:rPr>
        <w:rFonts w:ascii="Verdana" w:eastAsia="Times New Roman" w:hAnsi="Verdana" w:cs="Times New Roman"/>
        <w:b/>
        <w:bCs/>
        <w:spacing w:val="-1"/>
        <w:sz w:val="24"/>
        <w:szCs w:val="24"/>
      </w:rPr>
      <w:t>D</w:t>
    </w:r>
    <w:r w:rsidRPr="00C06728">
      <w:rPr>
        <w:rFonts w:ascii="Verdana" w:eastAsia="Times New Roman" w:hAnsi="Verdana" w:cs="Times New Roman"/>
        <w:b/>
        <w:bCs/>
        <w:sz w:val="24"/>
        <w:szCs w:val="24"/>
      </w:rPr>
      <w:t>ec</w:t>
    </w:r>
    <w:r w:rsidRPr="00C06728">
      <w:rPr>
        <w:rFonts w:ascii="Verdana" w:eastAsia="Times New Roman" w:hAnsi="Verdana" w:cs="Times New Roman"/>
        <w:b/>
        <w:bCs/>
        <w:spacing w:val="-1"/>
        <w:sz w:val="24"/>
        <w:szCs w:val="24"/>
      </w:rPr>
      <w:t>i</w:t>
    </w:r>
    <w:r w:rsidRPr="00C06728">
      <w:rPr>
        <w:rFonts w:ascii="Verdana" w:eastAsia="Times New Roman" w:hAnsi="Verdana" w:cs="Times New Roman"/>
        <w:b/>
        <w:bCs/>
        <w:spacing w:val="1"/>
        <w:sz w:val="24"/>
        <w:szCs w:val="24"/>
      </w:rPr>
      <w:t>s</w:t>
    </w:r>
    <w:r w:rsidRPr="00C06728">
      <w:rPr>
        <w:rFonts w:ascii="Verdana" w:eastAsia="Times New Roman" w:hAnsi="Verdana" w:cs="Times New Roman"/>
        <w:b/>
        <w:bCs/>
        <w:spacing w:val="-1"/>
        <w:sz w:val="24"/>
        <w:szCs w:val="24"/>
      </w:rPr>
      <w:t>i</w:t>
    </w:r>
    <w:r w:rsidRPr="00C06728">
      <w:rPr>
        <w:rFonts w:ascii="Verdana" w:eastAsia="Times New Roman" w:hAnsi="Verdana" w:cs="Times New Roman"/>
        <w:b/>
        <w:bCs/>
        <w:spacing w:val="1"/>
        <w:sz w:val="24"/>
        <w:szCs w:val="24"/>
      </w:rPr>
      <w:t>o</w:t>
    </w:r>
    <w:r w:rsidRPr="00C06728">
      <w:rPr>
        <w:rFonts w:ascii="Verdana" w:eastAsia="Times New Roman" w:hAnsi="Verdana" w:cs="Times New Roman"/>
        <w:b/>
        <w:bCs/>
        <w:spacing w:val="-3"/>
        <w:sz w:val="24"/>
        <w:szCs w:val="24"/>
      </w:rPr>
      <w:t>n</w:t>
    </w:r>
    <w:r w:rsidRPr="00C06728">
      <w:rPr>
        <w:rFonts w:ascii="Verdana" w:eastAsia="Times New Roman" w:hAnsi="Verdana" w:cs="Times New Roman"/>
        <w:b/>
        <w:bCs/>
        <w:sz w:val="24"/>
        <w:szCs w:val="24"/>
      </w:rPr>
      <w:t>s</w:t>
    </w:r>
  </w:p>
  <w:p w14:paraId="34F965A0" w14:textId="77777777" w:rsidR="005D7E74" w:rsidRDefault="005D7E74" w:rsidP="007813ED">
    <w:pPr>
      <w:spacing w:before="24"/>
      <w:ind w:right="-20"/>
      <w:jc w:val="center"/>
      <w:rPr>
        <w:rFonts w:ascii="Verdana" w:eastAsia="Times New Roman" w:hAnsi="Verdana"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1C6"/>
    <w:multiLevelType w:val="hybridMultilevel"/>
    <w:tmpl w:val="F640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032EC"/>
    <w:multiLevelType w:val="hybridMultilevel"/>
    <w:tmpl w:val="68F8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D6A66"/>
    <w:multiLevelType w:val="hybridMultilevel"/>
    <w:tmpl w:val="34D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17E23"/>
    <w:multiLevelType w:val="hybridMultilevel"/>
    <w:tmpl w:val="CF660648"/>
    <w:lvl w:ilvl="0" w:tplc="9994303E">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376BE"/>
    <w:multiLevelType w:val="hybridMultilevel"/>
    <w:tmpl w:val="3F1C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F4BCF"/>
    <w:multiLevelType w:val="hybridMultilevel"/>
    <w:tmpl w:val="164E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A2C06"/>
    <w:multiLevelType w:val="hybridMultilevel"/>
    <w:tmpl w:val="24FC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04331"/>
    <w:multiLevelType w:val="hybridMultilevel"/>
    <w:tmpl w:val="0A2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4449C"/>
    <w:multiLevelType w:val="hybridMultilevel"/>
    <w:tmpl w:val="3A4A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E7BD8"/>
    <w:multiLevelType w:val="hybridMultilevel"/>
    <w:tmpl w:val="6784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E7C42"/>
    <w:multiLevelType w:val="hybridMultilevel"/>
    <w:tmpl w:val="9E0E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935C1"/>
    <w:multiLevelType w:val="hybridMultilevel"/>
    <w:tmpl w:val="B9046FD0"/>
    <w:lvl w:ilvl="0" w:tplc="6D0262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835DF"/>
    <w:multiLevelType w:val="hybridMultilevel"/>
    <w:tmpl w:val="BA2E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96192"/>
    <w:multiLevelType w:val="hybridMultilevel"/>
    <w:tmpl w:val="C0C4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8522D"/>
    <w:multiLevelType w:val="hybridMultilevel"/>
    <w:tmpl w:val="C242F7C8"/>
    <w:lvl w:ilvl="0" w:tplc="76FC13C4">
      <w:start w:val="1"/>
      <w:numFmt w:val="bullet"/>
      <w:lvlText w:val="-"/>
      <w:lvlJc w:val="left"/>
      <w:pPr>
        <w:tabs>
          <w:tab w:val="num" w:pos="720"/>
        </w:tabs>
        <w:ind w:left="720" w:hanging="360"/>
      </w:pPr>
      <w:rPr>
        <w:rFonts w:ascii="Times New Roman" w:hAnsi="Times New Roman" w:hint="default"/>
      </w:rPr>
    </w:lvl>
    <w:lvl w:ilvl="1" w:tplc="A7EEDFC0" w:tentative="1">
      <w:start w:val="1"/>
      <w:numFmt w:val="bullet"/>
      <w:lvlText w:val="-"/>
      <w:lvlJc w:val="left"/>
      <w:pPr>
        <w:tabs>
          <w:tab w:val="num" w:pos="1440"/>
        </w:tabs>
        <w:ind w:left="1440" w:hanging="360"/>
      </w:pPr>
      <w:rPr>
        <w:rFonts w:ascii="Times New Roman" w:hAnsi="Times New Roman" w:hint="default"/>
      </w:rPr>
    </w:lvl>
    <w:lvl w:ilvl="2" w:tplc="6930BE08" w:tentative="1">
      <w:start w:val="1"/>
      <w:numFmt w:val="bullet"/>
      <w:lvlText w:val="-"/>
      <w:lvlJc w:val="left"/>
      <w:pPr>
        <w:tabs>
          <w:tab w:val="num" w:pos="2160"/>
        </w:tabs>
        <w:ind w:left="2160" w:hanging="360"/>
      </w:pPr>
      <w:rPr>
        <w:rFonts w:ascii="Times New Roman" w:hAnsi="Times New Roman" w:hint="default"/>
      </w:rPr>
    </w:lvl>
    <w:lvl w:ilvl="3" w:tplc="D6BC9B12" w:tentative="1">
      <w:start w:val="1"/>
      <w:numFmt w:val="bullet"/>
      <w:lvlText w:val="-"/>
      <w:lvlJc w:val="left"/>
      <w:pPr>
        <w:tabs>
          <w:tab w:val="num" w:pos="2880"/>
        </w:tabs>
        <w:ind w:left="2880" w:hanging="360"/>
      </w:pPr>
      <w:rPr>
        <w:rFonts w:ascii="Times New Roman" w:hAnsi="Times New Roman" w:hint="default"/>
      </w:rPr>
    </w:lvl>
    <w:lvl w:ilvl="4" w:tplc="7FA2D2FA" w:tentative="1">
      <w:start w:val="1"/>
      <w:numFmt w:val="bullet"/>
      <w:lvlText w:val="-"/>
      <w:lvlJc w:val="left"/>
      <w:pPr>
        <w:tabs>
          <w:tab w:val="num" w:pos="3600"/>
        </w:tabs>
        <w:ind w:left="3600" w:hanging="360"/>
      </w:pPr>
      <w:rPr>
        <w:rFonts w:ascii="Times New Roman" w:hAnsi="Times New Roman" w:hint="default"/>
      </w:rPr>
    </w:lvl>
    <w:lvl w:ilvl="5" w:tplc="508A1A52" w:tentative="1">
      <w:start w:val="1"/>
      <w:numFmt w:val="bullet"/>
      <w:lvlText w:val="-"/>
      <w:lvlJc w:val="left"/>
      <w:pPr>
        <w:tabs>
          <w:tab w:val="num" w:pos="4320"/>
        </w:tabs>
        <w:ind w:left="4320" w:hanging="360"/>
      </w:pPr>
      <w:rPr>
        <w:rFonts w:ascii="Times New Roman" w:hAnsi="Times New Roman" w:hint="default"/>
      </w:rPr>
    </w:lvl>
    <w:lvl w:ilvl="6" w:tplc="0DCCC4F0" w:tentative="1">
      <w:start w:val="1"/>
      <w:numFmt w:val="bullet"/>
      <w:lvlText w:val="-"/>
      <w:lvlJc w:val="left"/>
      <w:pPr>
        <w:tabs>
          <w:tab w:val="num" w:pos="5040"/>
        </w:tabs>
        <w:ind w:left="5040" w:hanging="360"/>
      </w:pPr>
      <w:rPr>
        <w:rFonts w:ascii="Times New Roman" w:hAnsi="Times New Roman" w:hint="default"/>
      </w:rPr>
    </w:lvl>
    <w:lvl w:ilvl="7" w:tplc="B472F972" w:tentative="1">
      <w:start w:val="1"/>
      <w:numFmt w:val="bullet"/>
      <w:lvlText w:val="-"/>
      <w:lvlJc w:val="left"/>
      <w:pPr>
        <w:tabs>
          <w:tab w:val="num" w:pos="5760"/>
        </w:tabs>
        <w:ind w:left="5760" w:hanging="360"/>
      </w:pPr>
      <w:rPr>
        <w:rFonts w:ascii="Times New Roman" w:hAnsi="Times New Roman" w:hint="default"/>
      </w:rPr>
    </w:lvl>
    <w:lvl w:ilvl="8" w:tplc="302EBB4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48511A"/>
    <w:multiLevelType w:val="hybridMultilevel"/>
    <w:tmpl w:val="347E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92DCC"/>
    <w:multiLevelType w:val="hybridMultilevel"/>
    <w:tmpl w:val="2A42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D6BC1"/>
    <w:multiLevelType w:val="hybridMultilevel"/>
    <w:tmpl w:val="512A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C507C"/>
    <w:multiLevelType w:val="hybridMultilevel"/>
    <w:tmpl w:val="D49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14A70"/>
    <w:multiLevelType w:val="hybridMultilevel"/>
    <w:tmpl w:val="0D6C3062"/>
    <w:lvl w:ilvl="0" w:tplc="9994303E">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628B3463"/>
    <w:multiLevelType w:val="hybridMultilevel"/>
    <w:tmpl w:val="0116FED6"/>
    <w:lvl w:ilvl="0" w:tplc="9994303E">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412A8"/>
    <w:multiLevelType w:val="hybridMultilevel"/>
    <w:tmpl w:val="4382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64065"/>
    <w:multiLevelType w:val="hybridMultilevel"/>
    <w:tmpl w:val="1F50C03C"/>
    <w:lvl w:ilvl="0" w:tplc="DF3CB18E">
      <w:start w:val="1"/>
      <w:numFmt w:val="decimal"/>
      <w:suff w:val="nothing"/>
      <w:lvlText w:val="%1."/>
      <w:lvlJc w:val="left"/>
      <w:pPr>
        <w:ind w:left="0" w:firstLine="72"/>
      </w:pPr>
      <w:rPr>
        <w:rFonts w:hint="default"/>
      </w:rPr>
    </w:lvl>
    <w:lvl w:ilvl="1" w:tplc="04090001">
      <w:start w:val="1"/>
      <w:numFmt w:val="bullet"/>
      <w:lvlText w:val=""/>
      <w:lvlJc w:val="left"/>
      <w:pPr>
        <w:ind w:left="810" w:hanging="360"/>
      </w:pPr>
      <w:rPr>
        <w:rFonts w:ascii="Symbol" w:hAnsi="Symbol" w:hint="default"/>
      </w:rPr>
    </w:lvl>
    <w:lvl w:ilvl="2" w:tplc="04090003">
      <w:start w:val="1"/>
      <w:numFmt w:val="bullet"/>
      <w:lvlText w:val="o"/>
      <w:lvlJc w:val="left"/>
      <w:pPr>
        <w:ind w:left="135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3272A"/>
    <w:multiLevelType w:val="hybridMultilevel"/>
    <w:tmpl w:val="7122C8E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6F2106AB"/>
    <w:multiLevelType w:val="hybridMultilevel"/>
    <w:tmpl w:val="D6C61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81CA9"/>
    <w:multiLevelType w:val="hybridMultilevel"/>
    <w:tmpl w:val="7066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749E3"/>
    <w:multiLevelType w:val="hybridMultilevel"/>
    <w:tmpl w:val="C4FE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0779">
    <w:abstractNumId w:val="21"/>
  </w:num>
  <w:num w:numId="2" w16cid:durableId="1978099830">
    <w:abstractNumId w:val="23"/>
  </w:num>
  <w:num w:numId="3" w16cid:durableId="1002123467">
    <w:abstractNumId w:val="9"/>
  </w:num>
  <w:num w:numId="4" w16cid:durableId="32199846">
    <w:abstractNumId w:val="1"/>
  </w:num>
  <w:num w:numId="5" w16cid:durableId="197477088">
    <w:abstractNumId w:val="7"/>
  </w:num>
  <w:num w:numId="6" w16cid:durableId="1379547306">
    <w:abstractNumId w:val="15"/>
  </w:num>
  <w:num w:numId="7" w16cid:durableId="919951421">
    <w:abstractNumId w:val="8"/>
  </w:num>
  <w:num w:numId="8" w16cid:durableId="63340024">
    <w:abstractNumId w:val="6"/>
  </w:num>
  <w:num w:numId="9" w16cid:durableId="219295041">
    <w:abstractNumId w:val="11"/>
  </w:num>
  <w:num w:numId="10" w16cid:durableId="1379088175">
    <w:abstractNumId w:val="17"/>
  </w:num>
  <w:num w:numId="11" w16cid:durableId="1358458559">
    <w:abstractNumId w:val="26"/>
  </w:num>
  <w:num w:numId="12" w16cid:durableId="832255705">
    <w:abstractNumId w:val="5"/>
  </w:num>
  <w:num w:numId="13" w16cid:durableId="1048648586">
    <w:abstractNumId w:val="19"/>
  </w:num>
  <w:num w:numId="14" w16cid:durableId="865485552">
    <w:abstractNumId w:val="20"/>
  </w:num>
  <w:num w:numId="15" w16cid:durableId="40174074">
    <w:abstractNumId w:val="3"/>
  </w:num>
  <w:num w:numId="16" w16cid:durableId="816722650">
    <w:abstractNumId w:val="0"/>
  </w:num>
  <w:num w:numId="17" w16cid:durableId="345718672">
    <w:abstractNumId w:val="13"/>
  </w:num>
  <w:num w:numId="18" w16cid:durableId="1082531695">
    <w:abstractNumId w:val="18"/>
  </w:num>
  <w:num w:numId="19" w16cid:durableId="1500077621">
    <w:abstractNumId w:val="2"/>
  </w:num>
  <w:num w:numId="20" w16cid:durableId="1599602900">
    <w:abstractNumId w:val="12"/>
  </w:num>
  <w:num w:numId="21" w16cid:durableId="1137836206">
    <w:abstractNumId w:val="25"/>
  </w:num>
  <w:num w:numId="22" w16cid:durableId="1030061509">
    <w:abstractNumId w:val="24"/>
  </w:num>
  <w:num w:numId="23" w16cid:durableId="753742264">
    <w:abstractNumId w:val="10"/>
  </w:num>
  <w:num w:numId="24" w16cid:durableId="1871331762">
    <w:abstractNumId w:val="22"/>
  </w:num>
  <w:num w:numId="25" w16cid:durableId="1879584921">
    <w:abstractNumId w:val="4"/>
  </w:num>
  <w:num w:numId="26" w16cid:durableId="2136289971">
    <w:abstractNumId w:val="14"/>
  </w:num>
  <w:num w:numId="27" w16cid:durableId="462622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75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6F"/>
    <w:rsid w:val="00001331"/>
    <w:rsid w:val="0000536E"/>
    <w:rsid w:val="0000785E"/>
    <w:rsid w:val="00013B7E"/>
    <w:rsid w:val="00015A48"/>
    <w:rsid w:val="00021C33"/>
    <w:rsid w:val="0002693E"/>
    <w:rsid w:val="000276E5"/>
    <w:rsid w:val="00027B5D"/>
    <w:rsid w:val="0003103B"/>
    <w:rsid w:val="00041EE0"/>
    <w:rsid w:val="00042572"/>
    <w:rsid w:val="0005112F"/>
    <w:rsid w:val="0005632B"/>
    <w:rsid w:val="00062D9B"/>
    <w:rsid w:val="00072DE3"/>
    <w:rsid w:val="00075402"/>
    <w:rsid w:val="000762F7"/>
    <w:rsid w:val="00077220"/>
    <w:rsid w:val="00080E04"/>
    <w:rsid w:val="00081CCE"/>
    <w:rsid w:val="0008291B"/>
    <w:rsid w:val="0008523F"/>
    <w:rsid w:val="000863CE"/>
    <w:rsid w:val="00090CB6"/>
    <w:rsid w:val="000A29D3"/>
    <w:rsid w:val="000A3A58"/>
    <w:rsid w:val="000A6E31"/>
    <w:rsid w:val="000A6FA0"/>
    <w:rsid w:val="000B1E4B"/>
    <w:rsid w:val="000B377F"/>
    <w:rsid w:val="000B6BBD"/>
    <w:rsid w:val="000C0DF2"/>
    <w:rsid w:val="000C1AED"/>
    <w:rsid w:val="000C5531"/>
    <w:rsid w:val="000C6EF5"/>
    <w:rsid w:val="000D701C"/>
    <w:rsid w:val="000E3555"/>
    <w:rsid w:val="000E718C"/>
    <w:rsid w:val="000E7E43"/>
    <w:rsid w:val="000F3657"/>
    <w:rsid w:val="00103223"/>
    <w:rsid w:val="001038DE"/>
    <w:rsid w:val="00111747"/>
    <w:rsid w:val="00113BFC"/>
    <w:rsid w:val="00123683"/>
    <w:rsid w:val="00123A36"/>
    <w:rsid w:val="00153FC2"/>
    <w:rsid w:val="00154175"/>
    <w:rsid w:val="00166739"/>
    <w:rsid w:val="0016796B"/>
    <w:rsid w:val="001679C6"/>
    <w:rsid w:val="001737B3"/>
    <w:rsid w:val="00173929"/>
    <w:rsid w:val="00174C58"/>
    <w:rsid w:val="001762D1"/>
    <w:rsid w:val="001773F9"/>
    <w:rsid w:val="00181BB5"/>
    <w:rsid w:val="001877A4"/>
    <w:rsid w:val="001A5644"/>
    <w:rsid w:val="001A7D1B"/>
    <w:rsid w:val="001B05E8"/>
    <w:rsid w:val="001B671E"/>
    <w:rsid w:val="001B70F1"/>
    <w:rsid w:val="001C0339"/>
    <w:rsid w:val="001C4424"/>
    <w:rsid w:val="001C6A3A"/>
    <w:rsid w:val="001D1C4F"/>
    <w:rsid w:val="001D6265"/>
    <w:rsid w:val="001E0B7A"/>
    <w:rsid w:val="001E24D2"/>
    <w:rsid w:val="001E373C"/>
    <w:rsid w:val="001E756A"/>
    <w:rsid w:val="001F115A"/>
    <w:rsid w:val="001F15E8"/>
    <w:rsid w:val="00200C5D"/>
    <w:rsid w:val="0020307C"/>
    <w:rsid w:val="00217B3A"/>
    <w:rsid w:val="00222189"/>
    <w:rsid w:val="00224305"/>
    <w:rsid w:val="002248EA"/>
    <w:rsid w:val="00227DA7"/>
    <w:rsid w:val="0023110B"/>
    <w:rsid w:val="00240902"/>
    <w:rsid w:val="002530EB"/>
    <w:rsid w:val="002543A7"/>
    <w:rsid w:val="00254712"/>
    <w:rsid w:val="00255A16"/>
    <w:rsid w:val="00263AA5"/>
    <w:rsid w:val="00276D88"/>
    <w:rsid w:val="002776D4"/>
    <w:rsid w:val="00282F97"/>
    <w:rsid w:val="00286B01"/>
    <w:rsid w:val="00287036"/>
    <w:rsid w:val="00291916"/>
    <w:rsid w:val="00296E12"/>
    <w:rsid w:val="00296EF6"/>
    <w:rsid w:val="002A5AA8"/>
    <w:rsid w:val="002B26A4"/>
    <w:rsid w:val="002B3F56"/>
    <w:rsid w:val="002C7005"/>
    <w:rsid w:val="002D282C"/>
    <w:rsid w:val="002E3600"/>
    <w:rsid w:val="002E4598"/>
    <w:rsid w:val="00300359"/>
    <w:rsid w:val="00303B44"/>
    <w:rsid w:val="0030564B"/>
    <w:rsid w:val="0031220E"/>
    <w:rsid w:val="0031642B"/>
    <w:rsid w:val="003167C3"/>
    <w:rsid w:val="00320E7E"/>
    <w:rsid w:val="0032109D"/>
    <w:rsid w:val="00326070"/>
    <w:rsid w:val="00330E7F"/>
    <w:rsid w:val="0033413B"/>
    <w:rsid w:val="003357F7"/>
    <w:rsid w:val="00342BF8"/>
    <w:rsid w:val="00347603"/>
    <w:rsid w:val="00347888"/>
    <w:rsid w:val="00350CBF"/>
    <w:rsid w:val="00352182"/>
    <w:rsid w:val="00357691"/>
    <w:rsid w:val="003628BE"/>
    <w:rsid w:val="003637F1"/>
    <w:rsid w:val="00365381"/>
    <w:rsid w:val="00365EDB"/>
    <w:rsid w:val="003718D1"/>
    <w:rsid w:val="00374925"/>
    <w:rsid w:val="0037536D"/>
    <w:rsid w:val="0037686F"/>
    <w:rsid w:val="00376CD6"/>
    <w:rsid w:val="00377322"/>
    <w:rsid w:val="0038015B"/>
    <w:rsid w:val="003847EC"/>
    <w:rsid w:val="00393788"/>
    <w:rsid w:val="00393F0F"/>
    <w:rsid w:val="003A2BC8"/>
    <w:rsid w:val="003A2FBC"/>
    <w:rsid w:val="003B6BD2"/>
    <w:rsid w:val="003C216A"/>
    <w:rsid w:val="003C30B6"/>
    <w:rsid w:val="003C4DD7"/>
    <w:rsid w:val="003D089B"/>
    <w:rsid w:val="003D0A4A"/>
    <w:rsid w:val="003E5867"/>
    <w:rsid w:val="003F1B83"/>
    <w:rsid w:val="003F605C"/>
    <w:rsid w:val="00400E1D"/>
    <w:rsid w:val="00405517"/>
    <w:rsid w:val="00407397"/>
    <w:rsid w:val="00411EE3"/>
    <w:rsid w:val="00413044"/>
    <w:rsid w:val="004178F5"/>
    <w:rsid w:val="004265F7"/>
    <w:rsid w:val="00440BB7"/>
    <w:rsid w:val="0044162D"/>
    <w:rsid w:val="004430D3"/>
    <w:rsid w:val="00443AD2"/>
    <w:rsid w:val="00443D2D"/>
    <w:rsid w:val="00443FD7"/>
    <w:rsid w:val="004471A0"/>
    <w:rsid w:val="00453C40"/>
    <w:rsid w:val="00455328"/>
    <w:rsid w:val="00455724"/>
    <w:rsid w:val="0045729E"/>
    <w:rsid w:val="00460EDB"/>
    <w:rsid w:val="00463796"/>
    <w:rsid w:val="00474F55"/>
    <w:rsid w:val="004878FB"/>
    <w:rsid w:val="0049166B"/>
    <w:rsid w:val="004934D4"/>
    <w:rsid w:val="004971A5"/>
    <w:rsid w:val="004A3F96"/>
    <w:rsid w:val="004A4967"/>
    <w:rsid w:val="004B468F"/>
    <w:rsid w:val="004B4A2D"/>
    <w:rsid w:val="004B5320"/>
    <w:rsid w:val="004B7440"/>
    <w:rsid w:val="004C1325"/>
    <w:rsid w:val="004C1625"/>
    <w:rsid w:val="004C1E77"/>
    <w:rsid w:val="004C5F89"/>
    <w:rsid w:val="004C78BE"/>
    <w:rsid w:val="004D093E"/>
    <w:rsid w:val="004D176F"/>
    <w:rsid w:val="004D5183"/>
    <w:rsid w:val="004D6922"/>
    <w:rsid w:val="004E6FF6"/>
    <w:rsid w:val="004F2F90"/>
    <w:rsid w:val="004F5834"/>
    <w:rsid w:val="004F7C78"/>
    <w:rsid w:val="00501F1C"/>
    <w:rsid w:val="00507646"/>
    <w:rsid w:val="00511917"/>
    <w:rsid w:val="00523363"/>
    <w:rsid w:val="005247AA"/>
    <w:rsid w:val="0053124A"/>
    <w:rsid w:val="00540035"/>
    <w:rsid w:val="005471DD"/>
    <w:rsid w:val="00552179"/>
    <w:rsid w:val="005607E2"/>
    <w:rsid w:val="00567170"/>
    <w:rsid w:val="00570471"/>
    <w:rsid w:val="00574A06"/>
    <w:rsid w:val="00583068"/>
    <w:rsid w:val="005842E0"/>
    <w:rsid w:val="005919AE"/>
    <w:rsid w:val="005923D0"/>
    <w:rsid w:val="00595206"/>
    <w:rsid w:val="00596B6A"/>
    <w:rsid w:val="005A0F54"/>
    <w:rsid w:val="005A4597"/>
    <w:rsid w:val="005A54CD"/>
    <w:rsid w:val="005A5771"/>
    <w:rsid w:val="005A7171"/>
    <w:rsid w:val="005B07DA"/>
    <w:rsid w:val="005B6F69"/>
    <w:rsid w:val="005C2E2A"/>
    <w:rsid w:val="005C6C17"/>
    <w:rsid w:val="005C7E4C"/>
    <w:rsid w:val="005D02FA"/>
    <w:rsid w:val="005D0AD5"/>
    <w:rsid w:val="005D5A8C"/>
    <w:rsid w:val="005D7E74"/>
    <w:rsid w:val="005E2989"/>
    <w:rsid w:val="005E716D"/>
    <w:rsid w:val="005E7889"/>
    <w:rsid w:val="005F2A5F"/>
    <w:rsid w:val="005F3EFF"/>
    <w:rsid w:val="0060264F"/>
    <w:rsid w:val="0062160D"/>
    <w:rsid w:val="006223BC"/>
    <w:rsid w:val="00630D15"/>
    <w:rsid w:val="00631DE6"/>
    <w:rsid w:val="006324B9"/>
    <w:rsid w:val="00632618"/>
    <w:rsid w:val="0063466E"/>
    <w:rsid w:val="0063560A"/>
    <w:rsid w:val="0063773D"/>
    <w:rsid w:val="006411FC"/>
    <w:rsid w:val="00644FCA"/>
    <w:rsid w:val="00646B34"/>
    <w:rsid w:val="00647476"/>
    <w:rsid w:val="00651BDB"/>
    <w:rsid w:val="00651F73"/>
    <w:rsid w:val="00653C33"/>
    <w:rsid w:val="00654666"/>
    <w:rsid w:val="006547A2"/>
    <w:rsid w:val="0065705C"/>
    <w:rsid w:val="006623BA"/>
    <w:rsid w:val="0066383F"/>
    <w:rsid w:val="006678A7"/>
    <w:rsid w:val="00670D60"/>
    <w:rsid w:val="00672217"/>
    <w:rsid w:val="006732A8"/>
    <w:rsid w:val="006746EE"/>
    <w:rsid w:val="0067500A"/>
    <w:rsid w:val="006804D8"/>
    <w:rsid w:val="00684C33"/>
    <w:rsid w:val="00690B16"/>
    <w:rsid w:val="006935BF"/>
    <w:rsid w:val="0069703B"/>
    <w:rsid w:val="006977BA"/>
    <w:rsid w:val="006A5737"/>
    <w:rsid w:val="006B16C1"/>
    <w:rsid w:val="006C5E4A"/>
    <w:rsid w:val="006C6F0C"/>
    <w:rsid w:val="006D3FF4"/>
    <w:rsid w:val="006E7EE6"/>
    <w:rsid w:val="006F3BD7"/>
    <w:rsid w:val="006F62E8"/>
    <w:rsid w:val="007010BB"/>
    <w:rsid w:val="007044D6"/>
    <w:rsid w:val="00705890"/>
    <w:rsid w:val="00710E9D"/>
    <w:rsid w:val="00723809"/>
    <w:rsid w:val="0073440C"/>
    <w:rsid w:val="0073594F"/>
    <w:rsid w:val="00741038"/>
    <w:rsid w:val="0074141E"/>
    <w:rsid w:val="00746B73"/>
    <w:rsid w:val="00752274"/>
    <w:rsid w:val="007523CA"/>
    <w:rsid w:val="00755911"/>
    <w:rsid w:val="007575C7"/>
    <w:rsid w:val="00760FBC"/>
    <w:rsid w:val="00761F43"/>
    <w:rsid w:val="00762CBA"/>
    <w:rsid w:val="00764303"/>
    <w:rsid w:val="00765246"/>
    <w:rsid w:val="00766DC0"/>
    <w:rsid w:val="00776016"/>
    <w:rsid w:val="007813ED"/>
    <w:rsid w:val="00791941"/>
    <w:rsid w:val="007977D3"/>
    <w:rsid w:val="007A2D68"/>
    <w:rsid w:val="007A2E41"/>
    <w:rsid w:val="007A586C"/>
    <w:rsid w:val="007A7913"/>
    <w:rsid w:val="007A7E74"/>
    <w:rsid w:val="007C152F"/>
    <w:rsid w:val="007D11A0"/>
    <w:rsid w:val="007D1D6A"/>
    <w:rsid w:val="007D3B4E"/>
    <w:rsid w:val="007D59EC"/>
    <w:rsid w:val="007D7099"/>
    <w:rsid w:val="007D7F52"/>
    <w:rsid w:val="007E2C73"/>
    <w:rsid w:val="007E4E57"/>
    <w:rsid w:val="007F3F30"/>
    <w:rsid w:val="007F4708"/>
    <w:rsid w:val="007F475C"/>
    <w:rsid w:val="007F5D21"/>
    <w:rsid w:val="00810A35"/>
    <w:rsid w:val="0081196F"/>
    <w:rsid w:val="008146C0"/>
    <w:rsid w:val="00814D6B"/>
    <w:rsid w:val="00814EE1"/>
    <w:rsid w:val="00820934"/>
    <w:rsid w:val="00822707"/>
    <w:rsid w:val="008238AB"/>
    <w:rsid w:val="00832DF6"/>
    <w:rsid w:val="00832EB0"/>
    <w:rsid w:val="00837406"/>
    <w:rsid w:val="00843F92"/>
    <w:rsid w:val="00844266"/>
    <w:rsid w:val="00844806"/>
    <w:rsid w:val="00852F8C"/>
    <w:rsid w:val="00854C16"/>
    <w:rsid w:val="008615D7"/>
    <w:rsid w:val="0086202F"/>
    <w:rsid w:val="00870C50"/>
    <w:rsid w:val="00873F95"/>
    <w:rsid w:val="008747E1"/>
    <w:rsid w:val="00875379"/>
    <w:rsid w:val="00876AB4"/>
    <w:rsid w:val="00876EFE"/>
    <w:rsid w:val="00876F27"/>
    <w:rsid w:val="00886C6D"/>
    <w:rsid w:val="00886F40"/>
    <w:rsid w:val="008907FC"/>
    <w:rsid w:val="0089593C"/>
    <w:rsid w:val="008A03E8"/>
    <w:rsid w:val="008A0EE4"/>
    <w:rsid w:val="008A3424"/>
    <w:rsid w:val="008B1C3E"/>
    <w:rsid w:val="008B2543"/>
    <w:rsid w:val="008B2789"/>
    <w:rsid w:val="008D2E75"/>
    <w:rsid w:val="008D34C4"/>
    <w:rsid w:val="008D566F"/>
    <w:rsid w:val="008E2C56"/>
    <w:rsid w:val="008E332C"/>
    <w:rsid w:val="008E4E86"/>
    <w:rsid w:val="008E57B6"/>
    <w:rsid w:val="008F2FB5"/>
    <w:rsid w:val="008F3F2B"/>
    <w:rsid w:val="008F582F"/>
    <w:rsid w:val="00901C99"/>
    <w:rsid w:val="00901F72"/>
    <w:rsid w:val="00906017"/>
    <w:rsid w:val="00911CE5"/>
    <w:rsid w:val="00911DEB"/>
    <w:rsid w:val="00914400"/>
    <w:rsid w:val="00914747"/>
    <w:rsid w:val="0091573D"/>
    <w:rsid w:val="00920315"/>
    <w:rsid w:val="00934B10"/>
    <w:rsid w:val="00941DB4"/>
    <w:rsid w:val="0095205D"/>
    <w:rsid w:val="009530F9"/>
    <w:rsid w:val="00956AB9"/>
    <w:rsid w:val="00964238"/>
    <w:rsid w:val="009645C1"/>
    <w:rsid w:val="00970958"/>
    <w:rsid w:val="00970C72"/>
    <w:rsid w:val="00970FE4"/>
    <w:rsid w:val="00972555"/>
    <w:rsid w:val="0097530B"/>
    <w:rsid w:val="00975A46"/>
    <w:rsid w:val="00976ECF"/>
    <w:rsid w:val="0098015B"/>
    <w:rsid w:val="009927A3"/>
    <w:rsid w:val="0099506A"/>
    <w:rsid w:val="00995073"/>
    <w:rsid w:val="009971E1"/>
    <w:rsid w:val="009A191A"/>
    <w:rsid w:val="009A327F"/>
    <w:rsid w:val="009C12CD"/>
    <w:rsid w:val="009C2659"/>
    <w:rsid w:val="009D3869"/>
    <w:rsid w:val="009E4205"/>
    <w:rsid w:val="009F5282"/>
    <w:rsid w:val="009F5B06"/>
    <w:rsid w:val="00A005B8"/>
    <w:rsid w:val="00A02DD7"/>
    <w:rsid w:val="00A05F99"/>
    <w:rsid w:val="00A07721"/>
    <w:rsid w:val="00A12D85"/>
    <w:rsid w:val="00A1528B"/>
    <w:rsid w:val="00A164C4"/>
    <w:rsid w:val="00A201AE"/>
    <w:rsid w:val="00A22479"/>
    <w:rsid w:val="00A237A9"/>
    <w:rsid w:val="00A24C6C"/>
    <w:rsid w:val="00A30660"/>
    <w:rsid w:val="00A356E9"/>
    <w:rsid w:val="00A4706E"/>
    <w:rsid w:val="00A47147"/>
    <w:rsid w:val="00A54A60"/>
    <w:rsid w:val="00A640AB"/>
    <w:rsid w:val="00A66B54"/>
    <w:rsid w:val="00A829B7"/>
    <w:rsid w:val="00A82C92"/>
    <w:rsid w:val="00A84469"/>
    <w:rsid w:val="00A92595"/>
    <w:rsid w:val="00AA2672"/>
    <w:rsid w:val="00AA31FF"/>
    <w:rsid w:val="00AB0E4C"/>
    <w:rsid w:val="00AB1450"/>
    <w:rsid w:val="00AB22E9"/>
    <w:rsid w:val="00AB6C97"/>
    <w:rsid w:val="00AB7540"/>
    <w:rsid w:val="00AC4968"/>
    <w:rsid w:val="00AD0D0C"/>
    <w:rsid w:val="00AD28A5"/>
    <w:rsid w:val="00AD333B"/>
    <w:rsid w:val="00AD34C7"/>
    <w:rsid w:val="00AD4610"/>
    <w:rsid w:val="00AD66FA"/>
    <w:rsid w:val="00AE1D31"/>
    <w:rsid w:val="00AE6351"/>
    <w:rsid w:val="00AE79B0"/>
    <w:rsid w:val="00AF0175"/>
    <w:rsid w:val="00AF03AD"/>
    <w:rsid w:val="00AF18FE"/>
    <w:rsid w:val="00AF2228"/>
    <w:rsid w:val="00AF3556"/>
    <w:rsid w:val="00AF502D"/>
    <w:rsid w:val="00B15806"/>
    <w:rsid w:val="00B26334"/>
    <w:rsid w:val="00B341E2"/>
    <w:rsid w:val="00B42D27"/>
    <w:rsid w:val="00B452FC"/>
    <w:rsid w:val="00B45B7C"/>
    <w:rsid w:val="00B53640"/>
    <w:rsid w:val="00B54FDE"/>
    <w:rsid w:val="00B552FE"/>
    <w:rsid w:val="00B727CC"/>
    <w:rsid w:val="00B76A29"/>
    <w:rsid w:val="00B80CEA"/>
    <w:rsid w:val="00B81F89"/>
    <w:rsid w:val="00B91F98"/>
    <w:rsid w:val="00B96566"/>
    <w:rsid w:val="00B969C8"/>
    <w:rsid w:val="00BA476A"/>
    <w:rsid w:val="00BA5EBF"/>
    <w:rsid w:val="00BA65CE"/>
    <w:rsid w:val="00BA6D19"/>
    <w:rsid w:val="00BA7E1A"/>
    <w:rsid w:val="00BB0BF1"/>
    <w:rsid w:val="00BB0FE6"/>
    <w:rsid w:val="00BB3847"/>
    <w:rsid w:val="00BB3E10"/>
    <w:rsid w:val="00BB7425"/>
    <w:rsid w:val="00BC0998"/>
    <w:rsid w:val="00BD0499"/>
    <w:rsid w:val="00BD0C1E"/>
    <w:rsid w:val="00BD1D0F"/>
    <w:rsid w:val="00BD4764"/>
    <w:rsid w:val="00BE479A"/>
    <w:rsid w:val="00BE6EB6"/>
    <w:rsid w:val="00C0196F"/>
    <w:rsid w:val="00C06728"/>
    <w:rsid w:val="00C10694"/>
    <w:rsid w:val="00C119D2"/>
    <w:rsid w:val="00C11ADE"/>
    <w:rsid w:val="00C22D05"/>
    <w:rsid w:val="00C2794E"/>
    <w:rsid w:val="00C3217C"/>
    <w:rsid w:val="00C32D5D"/>
    <w:rsid w:val="00C36463"/>
    <w:rsid w:val="00C37975"/>
    <w:rsid w:val="00C45D79"/>
    <w:rsid w:val="00C534D5"/>
    <w:rsid w:val="00C53605"/>
    <w:rsid w:val="00C56DA1"/>
    <w:rsid w:val="00C625FE"/>
    <w:rsid w:val="00C83FC4"/>
    <w:rsid w:val="00C908F5"/>
    <w:rsid w:val="00CA4C87"/>
    <w:rsid w:val="00CB1165"/>
    <w:rsid w:val="00CB5DD3"/>
    <w:rsid w:val="00CB7322"/>
    <w:rsid w:val="00CC750E"/>
    <w:rsid w:val="00CD33D9"/>
    <w:rsid w:val="00CD7CCD"/>
    <w:rsid w:val="00CE6933"/>
    <w:rsid w:val="00CF0AE6"/>
    <w:rsid w:val="00CF20AC"/>
    <w:rsid w:val="00CF3528"/>
    <w:rsid w:val="00CF74B0"/>
    <w:rsid w:val="00D0156A"/>
    <w:rsid w:val="00D04062"/>
    <w:rsid w:val="00D05CEA"/>
    <w:rsid w:val="00D06B4E"/>
    <w:rsid w:val="00D149B9"/>
    <w:rsid w:val="00D20342"/>
    <w:rsid w:val="00D209F3"/>
    <w:rsid w:val="00D21FA9"/>
    <w:rsid w:val="00D2576D"/>
    <w:rsid w:val="00D26979"/>
    <w:rsid w:val="00D3175B"/>
    <w:rsid w:val="00D337DA"/>
    <w:rsid w:val="00D358CA"/>
    <w:rsid w:val="00D4079E"/>
    <w:rsid w:val="00D46781"/>
    <w:rsid w:val="00D46C3A"/>
    <w:rsid w:val="00D476D1"/>
    <w:rsid w:val="00D5135F"/>
    <w:rsid w:val="00D57D61"/>
    <w:rsid w:val="00D633E8"/>
    <w:rsid w:val="00D80B16"/>
    <w:rsid w:val="00D84EC6"/>
    <w:rsid w:val="00D877F3"/>
    <w:rsid w:val="00D9015D"/>
    <w:rsid w:val="00DA2B74"/>
    <w:rsid w:val="00DA3259"/>
    <w:rsid w:val="00DB5D81"/>
    <w:rsid w:val="00DB6129"/>
    <w:rsid w:val="00DB76EA"/>
    <w:rsid w:val="00DC189A"/>
    <w:rsid w:val="00DC3D3E"/>
    <w:rsid w:val="00DC7D01"/>
    <w:rsid w:val="00DD7640"/>
    <w:rsid w:val="00DD7DA3"/>
    <w:rsid w:val="00DE063F"/>
    <w:rsid w:val="00DE5649"/>
    <w:rsid w:val="00DF0239"/>
    <w:rsid w:val="00DF3108"/>
    <w:rsid w:val="00E006EC"/>
    <w:rsid w:val="00E013CB"/>
    <w:rsid w:val="00E031F4"/>
    <w:rsid w:val="00E04AAD"/>
    <w:rsid w:val="00E07AE9"/>
    <w:rsid w:val="00E13B43"/>
    <w:rsid w:val="00E15C2F"/>
    <w:rsid w:val="00E174F6"/>
    <w:rsid w:val="00E24624"/>
    <w:rsid w:val="00E319C1"/>
    <w:rsid w:val="00E32DDA"/>
    <w:rsid w:val="00E4366B"/>
    <w:rsid w:val="00E44EED"/>
    <w:rsid w:val="00E46327"/>
    <w:rsid w:val="00E474FD"/>
    <w:rsid w:val="00E53BF8"/>
    <w:rsid w:val="00E54B19"/>
    <w:rsid w:val="00E70EBB"/>
    <w:rsid w:val="00E71DCB"/>
    <w:rsid w:val="00E744C8"/>
    <w:rsid w:val="00E74BF6"/>
    <w:rsid w:val="00E74D63"/>
    <w:rsid w:val="00E7525F"/>
    <w:rsid w:val="00E77836"/>
    <w:rsid w:val="00E8102A"/>
    <w:rsid w:val="00E82183"/>
    <w:rsid w:val="00E8257D"/>
    <w:rsid w:val="00E84053"/>
    <w:rsid w:val="00E841AA"/>
    <w:rsid w:val="00E85C8E"/>
    <w:rsid w:val="00E864E7"/>
    <w:rsid w:val="00E902DB"/>
    <w:rsid w:val="00E91C92"/>
    <w:rsid w:val="00EA0D64"/>
    <w:rsid w:val="00EB661B"/>
    <w:rsid w:val="00EB71D7"/>
    <w:rsid w:val="00EC06CC"/>
    <w:rsid w:val="00EC6614"/>
    <w:rsid w:val="00EC703C"/>
    <w:rsid w:val="00ED198B"/>
    <w:rsid w:val="00ED2B9A"/>
    <w:rsid w:val="00ED320C"/>
    <w:rsid w:val="00EE322F"/>
    <w:rsid w:val="00EE634E"/>
    <w:rsid w:val="00F003A7"/>
    <w:rsid w:val="00F004BF"/>
    <w:rsid w:val="00F05FFE"/>
    <w:rsid w:val="00F11DC6"/>
    <w:rsid w:val="00F15BF5"/>
    <w:rsid w:val="00F221C6"/>
    <w:rsid w:val="00F24DFC"/>
    <w:rsid w:val="00F31CE2"/>
    <w:rsid w:val="00F4378A"/>
    <w:rsid w:val="00F43E91"/>
    <w:rsid w:val="00F60FB8"/>
    <w:rsid w:val="00F6467A"/>
    <w:rsid w:val="00F73C1A"/>
    <w:rsid w:val="00F76C61"/>
    <w:rsid w:val="00F8644A"/>
    <w:rsid w:val="00F91E3D"/>
    <w:rsid w:val="00F926B2"/>
    <w:rsid w:val="00F965E0"/>
    <w:rsid w:val="00FA1D1E"/>
    <w:rsid w:val="00FA3D06"/>
    <w:rsid w:val="00FA49A1"/>
    <w:rsid w:val="00FA7C28"/>
    <w:rsid w:val="00FB3A36"/>
    <w:rsid w:val="00FB3F79"/>
    <w:rsid w:val="00FB700B"/>
    <w:rsid w:val="00FC051D"/>
    <w:rsid w:val="00FC4D27"/>
    <w:rsid w:val="00FC6389"/>
    <w:rsid w:val="00FD6E95"/>
    <w:rsid w:val="00FE05CF"/>
    <w:rsid w:val="00FE7640"/>
    <w:rsid w:val="00F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2789C8C4"/>
  <w15:docId w15:val="{D20B5484-1A6A-4CB2-9674-5051FC0C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A5"/>
  </w:style>
  <w:style w:type="paragraph" w:styleId="Heading1">
    <w:name w:val="heading 1"/>
    <w:basedOn w:val="Normal"/>
    <w:next w:val="Normal"/>
    <w:link w:val="Heading1Char"/>
    <w:uiPriority w:val="9"/>
    <w:qFormat/>
    <w:rsid w:val="00D337DA"/>
    <w:pPr>
      <w:widowControl w:val="0"/>
      <w:autoSpaceDE w:val="0"/>
      <w:autoSpaceDN w:val="0"/>
      <w:spacing w:before="164"/>
      <w:ind w:left="200" w:right="133"/>
      <w:jc w:val="center"/>
      <w:outlineLvl w:val="0"/>
    </w:pPr>
    <w:rPr>
      <w:rFonts w:ascii="Source Sans Pro" w:eastAsia="Verdana" w:hAnsi="Source Sans Pro" w:cs="Verdana"/>
      <w:b/>
      <w:bCs/>
      <w:color w:val="0046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A35"/>
    <w:pPr>
      <w:tabs>
        <w:tab w:val="center" w:pos="4680"/>
        <w:tab w:val="right" w:pos="9360"/>
      </w:tabs>
    </w:pPr>
  </w:style>
  <w:style w:type="character" w:customStyle="1" w:styleId="HeaderChar">
    <w:name w:val="Header Char"/>
    <w:basedOn w:val="DefaultParagraphFont"/>
    <w:link w:val="Header"/>
    <w:uiPriority w:val="99"/>
    <w:rsid w:val="00810A35"/>
  </w:style>
  <w:style w:type="paragraph" w:styleId="Footer">
    <w:name w:val="footer"/>
    <w:basedOn w:val="Normal"/>
    <w:link w:val="FooterChar"/>
    <w:uiPriority w:val="99"/>
    <w:unhideWhenUsed/>
    <w:rsid w:val="00810A35"/>
    <w:pPr>
      <w:tabs>
        <w:tab w:val="center" w:pos="4680"/>
        <w:tab w:val="right" w:pos="9360"/>
      </w:tabs>
    </w:pPr>
  </w:style>
  <w:style w:type="character" w:customStyle="1" w:styleId="FooterChar">
    <w:name w:val="Footer Char"/>
    <w:basedOn w:val="DefaultParagraphFont"/>
    <w:link w:val="Footer"/>
    <w:uiPriority w:val="99"/>
    <w:rsid w:val="00810A35"/>
  </w:style>
  <w:style w:type="table" w:styleId="TableGrid">
    <w:name w:val="Table Grid"/>
    <w:basedOn w:val="TableNormal"/>
    <w:uiPriority w:val="39"/>
    <w:rsid w:val="0055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5521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013B7E"/>
    <w:rPr>
      <w:rFonts w:ascii="Tahoma" w:hAnsi="Tahoma" w:cs="Tahoma"/>
      <w:sz w:val="16"/>
      <w:szCs w:val="16"/>
    </w:rPr>
  </w:style>
  <w:style w:type="character" w:customStyle="1" w:styleId="BalloonTextChar">
    <w:name w:val="Balloon Text Char"/>
    <w:basedOn w:val="DefaultParagraphFont"/>
    <w:link w:val="BalloonText"/>
    <w:uiPriority w:val="99"/>
    <w:semiHidden/>
    <w:rsid w:val="00013B7E"/>
    <w:rPr>
      <w:rFonts w:ascii="Tahoma" w:hAnsi="Tahoma" w:cs="Tahoma"/>
      <w:sz w:val="16"/>
      <w:szCs w:val="16"/>
    </w:rPr>
  </w:style>
  <w:style w:type="paragraph" w:styleId="ListParagraph">
    <w:name w:val="List Paragraph"/>
    <w:basedOn w:val="Normal"/>
    <w:uiPriority w:val="34"/>
    <w:qFormat/>
    <w:rsid w:val="002E3600"/>
    <w:pPr>
      <w:ind w:left="720"/>
      <w:contextualSpacing/>
    </w:pPr>
  </w:style>
  <w:style w:type="character" w:styleId="CommentReference">
    <w:name w:val="annotation reference"/>
    <w:basedOn w:val="DefaultParagraphFont"/>
    <w:uiPriority w:val="99"/>
    <w:semiHidden/>
    <w:unhideWhenUsed/>
    <w:rsid w:val="001F15E8"/>
    <w:rPr>
      <w:sz w:val="16"/>
      <w:szCs w:val="16"/>
    </w:rPr>
  </w:style>
  <w:style w:type="paragraph" w:styleId="CommentText">
    <w:name w:val="annotation text"/>
    <w:basedOn w:val="Normal"/>
    <w:link w:val="CommentTextChar"/>
    <w:uiPriority w:val="99"/>
    <w:semiHidden/>
    <w:unhideWhenUsed/>
    <w:rsid w:val="001F15E8"/>
    <w:rPr>
      <w:sz w:val="20"/>
      <w:szCs w:val="20"/>
    </w:rPr>
  </w:style>
  <w:style w:type="character" w:customStyle="1" w:styleId="CommentTextChar">
    <w:name w:val="Comment Text Char"/>
    <w:basedOn w:val="DefaultParagraphFont"/>
    <w:link w:val="CommentText"/>
    <w:uiPriority w:val="99"/>
    <w:semiHidden/>
    <w:rsid w:val="001F15E8"/>
    <w:rPr>
      <w:sz w:val="20"/>
      <w:szCs w:val="20"/>
    </w:rPr>
  </w:style>
  <w:style w:type="paragraph" w:styleId="CommentSubject">
    <w:name w:val="annotation subject"/>
    <w:basedOn w:val="CommentText"/>
    <w:next w:val="CommentText"/>
    <w:link w:val="CommentSubjectChar"/>
    <w:uiPriority w:val="99"/>
    <w:semiHidden/>
    <w:unhideWhenUsed/>
    <w:rsid w:val="001F15E8"/>
    <w:rPr>
      <w:b/>
      <w:bCs/>
    </w:rPr>
  </w:style>
  <w:style w:type="character" w:customStyle="1" w:styleId="CommentSubjectChar">
    <w:name w:val="Comment Subject Char"/>
    <w:basedOn w:val="CommentTextChar"/>
    <w:link w:val="CommentSubject"/>
    <w:uiPriority w:val="99"/>
    <w:semiHidden/>
    <w:rsid w:val="001F15E8"/>
    <w:rPr>
      <w:b/>
      <w:bCs/>
      <w:sz w:val="20"/>
      <w:szCs w:val="20"/>
    </w:rPr>
  </w:style>
  <w:style w:type="paragraph" w:styleId="NoSpacing">
    <w:name w:val="No Spacing"/>
    <w:uiPriority w:val="1"/>
    <w:qFormat/>
    <w:rsid w:val="00A237A9"/>
  </w:style>
  <w:style w:type="paragraph" w:customStyle="1" w:styleId="Standard1">
    <w:name w:val="Standard1"/>
    <w:basedOn w:val="Normal"/>
    <w:rsid w:val="00374925"/>
    <w:pPr>
      <w:spacing w:before="60" w:after="60"/>
    </w:pPr>
    <w:rPr>
      <w:rFonts w:ascii="Times New Roman" w:eastAsia="Times New Roman" w:hAnsi="Times New Roman" w:cs="Times New Roman"/>
      <w:sz w:val="20"/>
      <w:szCs w:val="20"/>
    </w:rPr>
  </w:style>
  <w:style w:type="paragraph" w:customStyle="1" w:styleId="Default">
    <w:name w:val="Default"/>
    <w:rsid w:val="00075402"/>
    <w:pPr>
      <w:autoSpaceDE w:val="0"/>
      <w:autoSpaceDN w:val="0"/>
      <w:adjustRightInd w:val="0"/>
    </w:pPr>
    <w:rPr>
      <w:rFonts w:ascii="Segoe UI" w:hAnsi="Segoe UI" w:cs="Segoe UI"/>
      <w:color w:val="000000"/>
      <w:sz w:val="24"/>
      <w:szCs w:val="24"/>
      <w14:ligatures w14:val="standardContextual"/>
    </w:rPr>
  </w:style>
  <w:style w:type="character" w:customStyle="1" w:styleId="Heading1Char">
    <w:name w:val="Heading 1 Char"/>
    <w:basedOn w:val="DefaultParagraphFont"/>
    <w:link w:val="Heading1"/>
    <w:uiPriority w:val="9"/>
    <w:rsid w:val="00D337DA"/>
    <w:rPr>
      <w:rFonts w:ascii="Source Sans Pro" w:eastAsia="Verdana" w:hAnsi="Source Sans Pro" w:cs="Verdana"/>
      <w:b/>
      <w:bCs/>
      <w:color w:val="0046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351">
      <w:bodyDiv w:val="1"/>
      <w:marLeft w:val="0"/>
      <w:marRight w:val="0"/>
      <w:marTop w:val="0"/>
      <w:marBottom w:val="0"/>
      <w:divBdr>
        <w:top w:val="none" w:sz="0" w:space="0" w:color="auto"/>
        <w:left w:val="none" w:sz="0" w:space="0" w:color="auto"/>
        <w:bottom w:val="none" w:sz="0" w:space="0" w:color="auto"/>
        <w:right w:val="none" w:sz="0" w:space="0" w:color="auto"/>
      </w:divBdr>
    </w:div>
    <w:div w:id="45614686">
      <w:bodyDiv w:val="1"/>
      <w:marLeft w:val="0"/>
      <w:marRight w:val="0"/>
      <w:marTop w:val="0"/>
      <w:marBottom w:val="0"/>
      <w:divBdr>
        <w:top w:val="none" w:sz="0" w:space="0" w:color="auto"/>
        <w:left w:val="none" w:sz="0" w:space="0" w:color="auto"/>
        <w:bottom w:val="none" w:sz="0" w:space="0" w:color="auto"/>
        <w:right w:val="none" w:sz="0" w:space="0" w:color="auto"/>
      </w:divBdr>
    </w:div>
    <w:div w:id="86461781">
      <w:bodyDiv w:val="1"/>
      <w:marLeft w:val="0"/>
      <w:marRight w:val="0"/>
      <w:marTop w:val="0"/>
      <w:marBottom w:val="0"/>
      <w:divBdr>
        <w:top w:val="none" w:sz="0" w:space="0" w:color="auto"/>
        <w:left w:val="none" w:sz="0" w:space="0" w:color="auto"/>
        <w:bottom w:val="none" w:sz="0" w:space="0" w:color="auto"/>
        <w:right w:val="none" w:sz="0" w:space="0" w:color="auto"/>
      </w:divBdr>
    </w:div>
    <w:div w:id="106825432">
      <w:bodyDiv w:val="1"/>
      <w:marLeft w:val="0"/>
      <w:marRight w:val="0"/>
      <w:marTop w:val="0"/>
      <w:marBottom w:val="0"/>
      <w:divBdr>
        <w:top w:val="none" w:sz="0" w:space="0" w:color="auto"/>
        <w:left w:val="none" w:sz="0" w:space="0" w:color="auto"/>
        <w:bottom w:val="none" w:sz="0" w:space="0" w:color="auto"/>
        <w:right w:val="none" w:sz="0" w:space="0" w:color="auto"/>
      </w:divBdr>
    </w:div>
    <w:div w:id="110370081">
      <w:bodyDiv w:val="1"/>
      <w:marLeft w:val="0"/>
      <w:marRight w:val="0"/>
      <w:marTop w:val="0"/>
      <w:marBottom w:val="0"/>
      <w:divBdr>
        <w:top w:val="none" w:sz="0" w:space="0" w:color="auto"/>
        <w:left w:val="none" w:sz="0" w:space="0" w:color="auto"/>
        <w:bottom w:val="none" w:sz="0" w:space="0" w:color="auto"/>
        <w:right w:val="none" w:sz="0" w:space="0" w:color="auto"/>
      </w:divBdr>
    </w:div>
    <w:div w:id="134761838">
      <w:bodyDiv w:val="1"/>
      <w:marLeft w:val="0"/>
      <w:marRight w:val="0"/>
      <w:marTop w:val="0"/>
      <w:marBottom w:val="0"/>
      <w:divBdr>
        <w:top w:val="none" w:sz="0" w:space="0" w:color="auto"/>
        <w:left w:val="none" w:sz="0" w:space="0" w:color="auto"/>
        <w:bottom w:val="none" w:sz="0" w:space="0" w:color="auto"/>
        <w:right w:val="none" w:sz="0" w:space="0" w:color="auto"/>
      </w:divBdr>
    </w:div>
    <w:div w:id="146439275">
      <w:bodyDiv w:val="1"/>
      <w:marLeft w:val="0"/>
      <w:marRight w:val="0"/>
      <w:marTop w:val="0"/>
      <w:marBottom w:val="0"/>
      <w:divBdr>
        <w:top w:val="none" w:sz="0" w:space="0" w:color="auto"/>
        <w:left w:val="none" w:sz="0" w:space="0" w:color="auto"/>
        <w:bottom w:val="none" w:sz="0" w:space="0" w:color="auto"/>
        <w:right w:val="none" w:sz="0" w:space="0" w:color="auto"/>
      </w:divBdr>
    </w:div>
    <w:div w:id="151263313">
      <w:bodyDiv w:val="1"/>
      <w:marLeft w:val="0"/>
      <w:marRight w:val="0"/>
      <w:marTop w:val="0"/>
      <w:marBottom w:val="0"/>
      <w:divBdr>
        <w:top w:val="none" w:sz="0" w:space="0" w:color="auto"/>
        <w:left w:val="none" w:sz="0" w:space="0" w:color="auto"/>
        <w:bottom w:val="none" w:sz="0" w:space="0" w:color="auto"/>
        <w:right w:val="none" w:sz="0" w:space="0" w:color="auto"/>
      </w:divBdr>
    </w:div>
    <w:div w:id="153767307">
      <w:bodyDiv w:val="1"/>
      <w:marLeft w:val="0"/>
      <w:marRight w:val="0"/>
      <w:marTop w:val="0"/>
      <w:marBottom w:val="0"/>
      <w:divBdr>
        <w:top w:val="none" w:sz="0" w:space="0" w:color="auto"/>
        <w:left w:val="none" w:sz="0" w:space="0" w:color="auto"/>
        <w:bottom w:val="none" w:sz="0" w:space="0" w:color="auto"/>
        <w:right w:val="none" w:sz="0" w:space="0" w:color="auto"/>
      </w:divBdr>
    </w:div>
    <w:div w:id="170490149">
      <w:bodyDiv w:val="1"/>
      <w:marLeft w:val="0"/>
      <w:marRight w:val="0"/>
      <w:marTop w:val="0"/>
      <w:marBottom w:val="0"/>
      <w:divBdr>
        <w:top w:val="none" w:sz="0" w:space="0" w:color="auto"/>
        <w:left w:val="none" w:sz="0" w:space="0" w:color="auto"/>
        <w:bottom w:val="none" w:sz="0" w:space="0" w:color="auto"/>
        <w:right w:val="none" w:sz="0" w:space="0" w:color="auto"/>
      </w:divBdr>
    </w:div>
    <w:div w:id="175273008">
      <w:bodyDiv w:val="1"/>
      <w:marLeft w:val="0"/>
      <w:marRight w:val="0"/>
      <w:marTop w:val="0"/>
      <w:marBottom w:val="0"/>
      <w:divBdr>
        <w:top w:val="none" w:sz="0" w:space="0" w:color="auto"/>
        <w:left w:val="none" w:sz="0" w:space="0" w:color="auto"/>
        <w:bottom w:val="none" w:sz="0" w:space="0" w:color="auto"/>
        <w:right w:val="none" w:sz="0" w:space="0" w:color="auto"/>
      </w:divBdr>
    </w:div>
    <w:div w:id="178079830">
      <w:bodyDiv w:val="1"/>
      <w:marLeft w:val="0"/>
      <w:marRight w:val="0"/>
      <w:marTop w:val="0"/>
      <w:marBottom w:val="0"/>
      <w:divBdr>
        <w:top w:val="none" w:sz="0" w:space="0" w:color="auto"/>
        <w:left w:val="none" w:sz="0" w:space="0" w:color="auto"/>
        <w:bottom w:val="none" w:sz="0" w:space="0" w:color="auto"/>
        <w:right w:val="none" w:sz="0" w:space="0" w:color="auto"/>
      </w:divBdr>
    </w:div>
    <w:div w:id="184054107">
      <w:bodyDiv w:val="1"/>
      <w:marLeft w:val="0"/>
      <w:marRight w:val="0"/>
      <w:marTop w:val="0"/>
      <w:marBottom w:val="0"/>
      <w:divBdr>
        <w:top w:val="none" w:sz="0" w:space="0" w:color="auto"/>
        <w:left w:val="none" w:sz="0" w:space="0" w:color="auto"/>
        <w:bottom w:val="none" w:sz="0" w:space="0" w:color="auto"/>
        <w:right w:val="none" w:sz="0" w:space="0" w:color="auto"/>
      </w:divBdr>
    </w:div>
    <w:div w:id="189608228">
      <w:bodyDiv w:val="1"/>
      <w:marLeft w:val="0"/>
      <w:marRight w:val="0"/>
      <w:marTop w:val="0"/>
      <w:marBottom w:val="0"/>
      <w:divBdr>
        <w:top w:val="none" w:sz="0" w:space="0" w:color="auto"/>
        <w:left w:val="none" w:sz="0" w:space="0" w:color="auto"/>
        <w:bottom w:val="none" w:sz="0" w:space="0" w:color="auto"/>
        <w:right w:val="none" w:sz="0" w:space="0" w:color="auto"/>
      </w:divBdr>
    </w:div>
    <w:div w:id="191187275">
      <w:bodyDiv w:val="1"/>
      <w:marLeft w:val="0"/>
      <w:marRight w:val="0"/>
      <w:marTop w:val="0"/>
      <w:marBottom w:val="0"/>
      <w:divBdr>
        <w:top w:val="none" w:sz="0" w:space="0" w:color="auto"/>
        <w:left w:val="none" w:sz="0" w:space="0" w:color="auto"/>
        <w:bottom w:val="none" w:sz="0" w:space="0" w:color="auto"/>
        <w:right w:val="none" w:sz="0" w:space="0" w:color="auto"/>
      </w:divBdr>
    </w:div>
    <w:div w:id="203107436">
      <w:bodyDiv w:val="1"/>
      <w:marLeft w:val="0"/>
      <w:marRight w:val="0"/>
      <w:marTop w:val="0"/>
      <w:marBottom w:val="0"/>
      <w:divBdr>
        <w:top w:val="none" w:sz="0" w:space="0" w:color="auto"/>
        <w:left w:val="none" w:sz="0" w:space="0" w:color="auto"/>
        <w:bottom w:val="none" w:sz="0" w:space="0" w:color="auto"/>
        <w:right w:val="none" w:sz="0" w:space="0" w:color="auto"/>
      </w:divBdr>
    </w:div>
    <w:div w:id="238908319">
      <w:bodyDiv w:val="1"/>
      <w:marLeft w:val="0"/>
      <w:marRight w:val="0"/>
      <w:marTop w:val="0"/>
      <w:marBottom w:val="0"/>
      <w:divBdr>
        <w:top w:val="none" w:sz="0" w:space="0" w:color="auto"/>
        <w:left w:val="none" w:sz="0" w:space="0" w:color="auto"/>
        <w:bottom w:val="none" w:sz="0" w:space="0" w:color="auto"/>
        <w:right w:val="none" w:sz="0" w:space="0" w:color="auto"/>
      </w:divBdr>
    </w:div>
    <w:div w:id="241763494">
      <w:bodyDiv w:val="1"/>
      <w:marLeft w:val="0"/>
      <w:marRight w:val="0"/>
      <w:marTop w:val="0"/>
      <w:marBottom w:val="0"/>
      <w:divBdr>
        <w:top w:val="none" w:sz="0" w:space="0" w:color="auto"/>
        <w:left w:val="none" w:sz="0" w:space="0" w:color="auto"/>
        <w:bottom w:val="none" w:sz="0" w:space="0" w:color="auto"/>
        <w:right w:val="none" w:sz="0" w:space="0" w:color="auto"/>
      </w:divBdr>
    </w:div>
    <w:div w:id="294406693">
      <w:bodyDiv w:val="1"/>
      <w:marLeft w:val="0"/>
      <w:marRight w:val="0"/>
      <w:marTop w:val="0"/>
      <w:marBottom w:val="0"/>
      <w:divBdr>
        <w:top w:val="none" w:sz="0" w:space="0" w:color="auto"/>
        <w:left w:val="none" w:sz="0" w:space="0" w:color="auto"/>
        <w:bottom w:val="none" w:sz="0" w:space="0" w:color="auto"/>
        <w:right w:val="none" w:sz="0" w:space="0" w:color="auto"/>
      </w:divBdr>
    </w:div>
    <w:div w:id="296834737">
      <w:bodyDiv w:val="1"/>
      <w:marLeft w:val="0"/>
      <w:marRight w:val="0"/>
      <w:marTop w:val="0"/>
      <w:marBottom w:val="0"/>
      <w:divBdr>
        <w:top w:val="none" w:sz="0" w:space="0" w:color="auto"/>
        <w:left w:val="none" w:sz="0" w:space="0" w:color="auto"/>
        <w:bottom w:val="none" w:sz="0" w:space="0" w:color="auto"/>
        <w:right w:val="none" w:sz="0" w:space="0" w:color="auto"/>
      </w:divBdr>
    </w:div>
    <w:div w:id="300769816">
      <w:bodyDiv w:val="1"/>
      <w:marLeft w:val="0"/>
      <w:marRight w:val="0"/>
      <w:marTop w:val="0"/>
      <w:marBottom w:val="0"/>
      <w:divBdr>
        <w:top w:val="none" w:sz="0" w:space="0" w:color="auto"/>
        <w:left w:val="none" w:sz="0" w:space="0" w:color="auto"/>
        <w:bottom w:val="none" w:sz="0" w:space="0" w:color="auto"/>
        <w:right w:val="none" w:sz="0" w:space="0" w:color="auto"/>
      </w:divBdr>
    </w:div>
    <w:div w:id="311448435">
      <w:bodyDiv w:val="1"/>
      <w:marLeft w:val="0"/>
      <w:marRight w:val="0"/>
      <w:marTop w:val="0"/>
      <w:marBottom w:val="0"/>
      <w:divBdr>
        <w:top w:val="none" w:sz="0" w:space="0" w:color="auto"/>
        <w:left w:val="none" w:sz="0" w:space="0" w:color="auto"/>
        <w:bottom w:val="none" w:sz="0" w:space="0" w:color="auto"/>
        <w:right w:val="none" w:sz="0" w:space="0" w:color="auto"/>
      </w:divBdr>
    </w:div>
    <w:div w:id="360321007">
      <w:bodyDiv w:val="1"/>
      <w:marLeft w:val="0"/>
      <w:marRight w:val="0"/>
      <w:marTop w:val="0"/>
      <w:marBottom w:val="0"/>
      <w:divBdr>
        <w:top w:val="none" w:sz="0" w:space="0" w:color="auto"/>
        <w:left w:val="none" w:sz="0" w:space="0" w:color="auto"/>
        <w:bottom w:val="none" w:sz="0" w:space="0" w:color="auto"/>
        <w:right w:val="none" w:sz="0" w:space="0" w:color="auto"/>
      </w:divBdr>
    </w:div>
    <w:div w:id="378894233">
      <w:bodyDiv w:val="1"/>
      <w:marLeft w:val="0"/>
      <w:marRight w:val="0"/>
      <w:marTop w:val="0"/>
      <w:marBottom w:val="0"/>
      <w:divBdr>
        <w:top w:val="none" w:sz="0" w:space="0" w:color="auto"/>
        <w:left w:val="none" w:sz="0" w:space="0" w:color="auto"/>
        <w:bottom w:val="none" w:sz="0" w:space="0" w:color="auto"/>
        <w:right w:val="none" w:sz="0" w:space="0" w:color="auto"/>
      </w:divBdr>
    </w:div>
    <w:div w:id="399334385">
      <w:bodyDiv w:val="1"/>
      <w:marLeft w:val="0"/>
      <w:marRight w:val="0"/>
      <w:marTop w:val="0"/>
      <w:marBottom w:val="0"/>
      <w:divBdr>
        <w:top w:val="none" w:sz="0" w:space="0" w:color="auto"/>
        <w:left w:val="none" w:sz="0" w:space="0" w:color="auto"/>
        <w:bottom w:val="none" w:sz="0" w:space="0" w:color="auto"/>
        <w:right w:val="none" w:sz="0" w:space="0" w:color="auto"/>
      </w:divBdr>
    </w:div>
    <w:div w:id="401752868">
      <w:bodyDiv w:val="1"/>
      <w:marLeft w:val="0"/>
      <w:marRight w:val="0"/>
      <w:marTop w:val="0"/>
      <w:marBottom w:val="0"/>
      <w:divBdr>
        <w:top w:val="none" w:sz="0" w:space="0" w:color="auto"/>
        <w:left w:val="none" w:sz="0" w:space="0" w:color="auto"/>
        <w:bottom w:val="none" w:sz="0" w:space="0" w:color="auto"/>
        <w:right w:val="none" w:sz="0" w:space="0" w:color="auto"/>
      </w:divBdr>
    </w:div>
    <w:div w:id="423305028">
      <w:bodyDiv w:val="1"/>
      <w:marLeft w:val="0"/>
      <w:marRight w:val="0"/>
      <w:marTop w:val="0"/>
      <w:marBottom w:val="0"/>
      <w:divBdr>
        <w:top w:val="none" w:sz="0" w:space="0" w:color="auto"/>
        <w:left w:val="none" w:sz="0" w:space="0" w:color="auto"/>
        <w:bottom w:val="none" w:sz="0" w:space="0" w:color="auto"/>
        <w:right w:val="none" w:sz="0" w:space="0" w:color="auto"/>
      </w:divBdr>
    </w:div>
    <w:div w:id="467668159">
      <w:bodyDiv w:val="1"/>
      <w:marLeft w:val="0"/>
      <w:marRight w:val="0"/>
      <w:marTop w:val="0"/>
      <w:marBottom w:val="0"/>
      <w:divBdr>
        <w:top w:val="none" w:sz="0" w:space="0" w:color="auto"/>
        <w:left w:val="none" w:sz="0" w:space="0" w:color="auto"/>
        <w:bottom w:val="none" w:sz="0" w:space="0" w:color="auto"/>
        <w:right w:val="none" w:sz="0" w:space="0" w:color="auto"/>
      </w:divBdr>
    </w:div>
    <w:div w:id="471101914">
      <w:bodyDiv w:val="1"/>
      <w:marLeft w:val="0"/>
      <w:marRight w:val="0"/>
      <w:marTop w:val="0"/>
      <w:marBottom w:val="0"/>
      <w:divBdr>
        <w:top w:val="none" w:sz="0" w:space="0" w:color="auto"/>
        <w:left w:val="none" w:sz="0" w:space="0" w:color="auto"/>
        <w:bottom w:val="none" w:sz="0" w:space="0" w:color="auto"/>
        <w:right w:val="none" w:sz="0" w:space="0" w:color="auto"/>
      </w:divBdr>
    </w:div>
    <w:div w:id="488595096">
      <w:bodyDiv w:val="1"/>
      <w:marLeft w:val="0"/>
      <w:marRight w:val="0"/>
      <w:marTop w:val="0"/>
      <w:marBottom w:val="0"/>
      <w:divBdr>
        <w:top w:val="none" w:sz="0" w:space="0" w:color="auto"/>
        <w:left w:val="none" w:sz="0" w:space="0" w:color="auto"/>
        <w:bottom w:val="none" w:sz="0" w:space="0" w:color="auto"/>
        <w:right w:val="none" w:sz="0" w:space="0" w:color="auto"/>
      </w:divBdr>
    </w:div>
    <w:div w:id="518475263">
      <w:bodyDiv w:val="1"/>
      <w:marLeft w:val="0"/>
      <w:marRight w:val="0"/>
      <w:marTop w:val="0"/>
      <w:marBottom w:val="0"/>
      <w:divBdr>
        <w:top w:val="none" w:sz="0" w:space="0" w:color="auto"/>
        <w:left w:val="none" w:sz="0" w:space="0" w:color="auto"/>
        <w:bottom w:val="none" w:sz="0" w:space="0" w:color="auto"/>
        <w:right w:val="none" w:sz="0" w:space="0" w:color="auto"/>
      </w:divBdr>
    </w:div>
    <w:div w:id="524172037">
      <w:bodyDiv w:val="1"/>
      <w:marLeft w:val="0"/>
      <w:marRight w:val="0"/>
      <w:marTop w:val="0"/>
      <w:marBottom w:val="0"/>
      <w:divBdr>
        <w:top w:val="none" w:sz="0" w:space="0" w:color="auto"/>
        <w:left w:val="none" w:sz="0" w:space="0" w:color="auto"/>
        <w:bottom w:val="none" w:sz="0" w:space="0" w:color="auto"/>
        <w:right w:val="none" w:sz="0" w:space="0" w:color="auto"/>
      </w:divBdr>
    </w:div>
    <w:div w:id="528489120">
      <w:bodyDiv w:val="1"/>
      <w:marLeft w:val="0"/>
      <w:marRight w:val="0"/>
      <w:marTop w:val="0"/>
      <w:marBottom w:val="0"/>
      <w:divBdr>
        <w:top w:val="none" w:sz="0" w:space="0" w:color="auto"/>
        <w:left w:val="none" w:sz="0" w:space="0" w:color="auto"/>
        <w:bottom w:val="none" w:sz="0" w:space="0" w:color="auto"/>
        <w:right w:val="none" w:sz="0" w:space="0" w:color="auto"/>
      </w:divBdr>
    </w:div>
    <w:div w:id="532810819">
      <w:bodyDiv w:val="1"/>
      <w:marLeft w:val="0"/>
      <w:marRight w:val="0"/>
      <w:marTop w:val="0"/>
      <w:marBottom w:val="0"/>
      <w:divBdr>
        <w:top w:val="none" w:sz="0" w:space="0" w:color="auto"/>
        <w:left w:val="none" w:sz="0" w:space="0" w:color="auto"/>
        <w:bottom w:val="none" w:sz="0" w:space="0" w:color="auto"/>
        <w:right w:val="none" w:sz="0" w:space="0" w:color="auto"/>
      </w:divBdr>
    </w:div>
    <w:div w:id="535436642">
      <w:bodyDiv w:val="1"/>
      <w:marLeft w:val="0"/>
      <w:marRight w:val="0"/>
      <w:marTop w:val="0"/>
      <w:marBottom w:val="0"/>
      <w:divBdr>
        <w:top w:val="none" w:sz="0" w:space="0" w:color="auto"/>
        <w:left w:val="none" w:sz="0" w:space="0" w:color="auto"/>
        <w:bottom w:val="none" w:sz="0" w:space="0" w:color="auto"/>
        <w:right w:val="none" w:sz="0" w:space="0" w:color="auto"/>
      </w:divBdr>
    </w:div>
    <w:div w:id="540751614">
      <w:bodyDiv w:val="1"/>
      <w:marLeft w:val="0"/>
      <w:marRight w:val="0"/>
      <w:marTop w:val="0"/>
      <w:marBottom w:val="0"/>
      <w:divBdr>
        <w:top w:val="none" w:sz="0" w:space="0" w:color="auto"/>
        <w:left w:val="none" w:sz="0" w:space="0" w:color="auto"/>
        <w:bottom w:val="none" w:sz="0" w:space="0" w:color="auto"/>
        <w:right w:val="none" w:sz="0" w:space="0" w:color="auto"/>
      </w:divBdr>
    </w:div>
    <w:div w:id="548230766">
      <w:bodyDiv w:val="1"/>
      <w:marLeft w:val="0"/>
      <w:marRight w:val="0"/>
      <w:marTop w:val="0"/>
      <w:marBottom w:val="0"/>
      <w:divBdr>
        <w:top w:val="none" w:sz="0" w:space="0" w:color="auto"/>
        <w:left w:val="none" w:sz="0" w:space="0" w:color="auto"/>
        <w:bottom w:val="none" w:sz="0" w:space="0" w:color="auto"/>
        <w:right w:val="none" w:sz="0" w:space="0" w:color="auto"/>
      </w:divBdr>
    </w:div>
    <w:div w:id="554270644">
      <w:bodyDiv w:val="1"/>
      <w:marLeft w:val="0"/>
      <w:marRight w:val="0"/>
      <w:marTop w:val="0"/>
      <w:marBottom w:val="0"/>
      <w:divBdr>
        <w:top w:val="none" w:sz="0" w:space="0" w:color="auto"/>
        <w:left w:val="none" w:sz="0" w:space="0" w:color="auto"/>
        <w:bottom w:val="none" w:sz="0" w:space="0" w:color="auto"/>
        <w:right w:val="none" w:sz="0" w:space="0" w:color="auto"/>
      </w:divBdr>
    </w:div>
    <w:div w:id="594442504">
      <w:bodyDiv w:val="1"/>
      <w:marLeft w:val="0"/>
      <w:marRight w:val="0"/>
      <w:marTop w:val="0"/>
      <w:marBottom w:val="0"/>
      <w:divBdr>
        <w:top w:val="none" w:sz="0" w:space="0" w:color="auto"/>
        <w:left w:val="none" w:sz="0" w:space="0" w:color="auto"/>
        <w:bottom w:val="none" w:sz="0" w:space="0" w:color="auto"/>
        <w:right w:val="none" w:sz="0" w:space="0" w:color="auto"/>
      </w:divBdr>
    </w:div>
    <w:div w:id="599603624">
      <w:bodyDiv w:val="1"/>
      <w:marLeft w:val="0"/>
      <w:marRight w:val="0"/>
      <w:marTop w:val="0"/>
      <w:marBottom w:val="0"/>
      <w:divBdr>
        <w:top w:val="none" w:sz="0" w:space="0" w:color="auto"/>
        <w:left w:val="none" w:sz="0" w:space="0" w:color="auto"/>
        <w:bottom w:val="none" w:sz="0" w:space="0" w:color="auto"/>
        <w:right w:val="none" w:sz="0" w:space="0" w:color="auto"/>
      </w:divBdr>
    </w:div>
    <w:div w:id="609631370">
      <w:bodyDiv w:val="1"/>
      <w:marLeft w:val="0"/>
      <w:marRight w:val="0"/>
      <w:marTop w:val="0"/>
      <w:marBottom w:val="0"/>
      <w:divBdr>
        <w:top w:val="none" w:sz="0" w:space="0" w:color="auto"/>
        <w:left w:val="none" w:sz="0" w:space="0" w:color="auto"/>
        <w:bottom w:val="none" w:sz="0" w:space="0" w:color="auto"/>
        <w:right w:val="none" w:sz="0" w:space="0" w:color="auto"/>
      </w:divBdr>
    </w:div>
    <w:div w:id="668750406">
      <w:bodyDiv w:val="1"/>
      <w:marLeft w:val="0"/>
      <w:marRight w:val="0"/>
      <w:marTop w:val="0"/>
      <w:marBottom w:val="0"/>
      <w:divBdr>
        <w:top w:val="none" w:sz="0" w:space="0" w:color="auto"/>
        <w:left w:val="none" w:sz="0" w:space="0" w:color="auto"/>
        <w:bottom w:val="none" w:sz="0" w:space="0" w:color="auto"/>
        <w:right w:val="none" w:sz="0" w:space="0" w:color="auto"/>
      </w:divBdr>
    </w:div>
    <w:div w:id="739517814">
      <w:bodyDiv w:val="1"/>
      <w:marLeft w:val="0"/>
      <w:marRight w:val="0"/>
      <w:marTop w:val="0"/>
      <w:marBottom w:val="0"/>
      <w:divBdr>
        <w:top w:val="none" w:sz="0" w:space="0" w:color="auto"/>
        <w:left w:val="none" w:sz="0" w:space="0" w:color="auto"/>
        <w:bottom w:val="none" w:sz="0" w:space="0" w:color="auto"/>
        <w:right w:val="none" w:sz="0" w:space="0" w:color="auto"/>
      </w:divBdr>
    </w:div>
    <w:div w:id="770055717">
      <w:bodyDiv w:val="1"/>
      <w:marLeft w:val="0"/>
      <w:marRight w:val="0"/>
      <w:marTop w:val="0"/>
      <w:marBottom w:val="0"/>
      <w:divBdr>
        <w:top w:val="none" w:sz="0" w:space="0" w:color="auto"/>
        <w:left w:val="none" w:sz="0" w:space="0" w:color="auto"/>
        <w:bottom w:val="none" w:sz="0" w:space="0" w:color="auto"/>
        <w:right w:val="none" w:sz="0" w:space="0" w:color="auto"/>
      </w:divBdr>
    </w:div>
    <w:div w:id="783772627">
      <w:bodyDiv w:val="1"/>
      <w:marLeft w:val="0"/>
      <w:marRight w:val="0"/>
      <w:marTop w:val="0"/>
      <w:marBottom w:val="0"/>
      <w:divBdr>
        <w:top w:val="none" w:sz="0" w:space="0" w:color="auto"/>
        <w:left w:val="none" w:sz="0" w:space="0" w:color="auto"/>
        <w:bottom w:val="none" w:sz="0" w:space="0" w:color="auto"/>
        <w:right w:val="none" w:sz="0" w:space="0" w:color="auto"/>
      </w:divBdr>
    </w:div>
    <w:div w:id="792216399">
      <w:bodyDiv w:val="1"/>
      <w:marLeft w:val="0"/>
      <w:marRight w:val="0"/>
      <w:marTop w:val="0"/>
      <w:marBottom w:val="0"/>
      <w:divBdr>
        <w:top w:val="none" w:sz="0" w:space="0" w:color="auto"/>
        <w:left w:val="none" w:sz="0" w:space="0" w:color="auto"/>
        <w:bottom w:val="none" w:sz="0" w:space="0" w:color="auto"/>
        <w:right w:val="none" w:sz="0" w:space="0" w:color="auto"/>
      </w:divBdr>
    </w:div>
    <w:div w:id="816606116">
      <w:bodyDiv w:val="1"/>
      <w:marLeft w:val="0"/>
      <w:marRight w:val="0"/>
      <w:marTop w:val="0"/>
      <w:marBottom w:val="0"/>
      <w:divBdr>
        <w:top w:val="none" w:sz="0" w:space="0" w:color="auto"/>
        <w:left w:val="none" w:sz="0" w:space="0" w:color="auto"/>
        <w:bottom w:val="none" w:sz="0" w:space="0" w:color="auto"/>
        <w:right w:val="none" w:sz="0" w:space="0" w:color="auto"/>
      </w:divBdr>
    </w:div>
    <w:div w:id="824592858">
      <w:bodyDiv w:val="1"/>
      <w:marLeft w:val="0"/>
      <w:marRight w:val="0"/>
      <w:marTop w:val="0"/>
      <w:marBottom w:val="0"/>
      <w:divBdr>
        <w:top w:val="none" w:sz="0" w:space="0" w:color="auto"/>
        <w:left w:val="none" w:sz="0" w:space="0" w:color="auto"/>
        <w:bottom w:val="none" w:sz="0" w:space="0" w:color="auto"/>
        <w:right w:val="none" w:sz="0" w:space="0" w:color="auto"/>
      </w:divBdr>
    </w:div>
    <w:div w:id="826440894">
      <w:bodyDiv w:val="1"/>
      <w:marLeft w:val="0"/>
      <w:marRight w:val="0"/>
      <w:marTop w:val="0"/>
      <w:marBottom w:val="0"/>
      <w:divBdr>
        <w:top w:val="none" w:sz="0" w:space="0" w:color="auto"/>
        <w:left w:val="none" w:sz="0" w:space="0" w:color="auto"/>
        <w:bottom w:val="none" w:sz="0" w:space="0" w:color="auto"/>
        <w:right w:val="none" w:sz="0" w:space="0" w:color="auto"/>
      </w:divBdr>
    </w:div>
    <w:div w:id="857543805">
      <w:bodyDiv w:val="1"/>
      <w:marLeft w:val="0"/>
      <w:marRight w:val="0"/>
      <w:marTop w:val="0"/>
      <w:marBottom w:val="0"/>
      <w:divBdr>
        <w:top w:val="none" w:sz="0" w:space="0" w:color="auto"/>
        <w:left w:val="none" w:sz="0" w:space="0" w:color="auto"/>
        <w:bottom w:val="none" w:sz="0" w:space="0" w:color="auto"/>
        <w:right w:val="none" w:sz="0" w:space="0" w:color="auto"/>
      </w:divBdr>
    </w:div>
    <w:div w:id="861865161">
      <w:bodyDiv w:val="1"/>
      <w:marLeft w:val="0"/>
      <w:marRight w:val="0"/>
      <w:marTop w:val="0"/>
      <w:marBottom w:val="0"/>
      <w:divBdr>
        <w:top w:val="none" w:sz="0" w:space="0" w:color="auto"/>
        <w:left w:val="none" w:sz="0" w:space="0" w:color="auto"/>
        <w:bottom w:val="none" w:sz="0" w:space="0" w:color="auto"/>
        <w:right w:val="none" w:sz="0" w:space="0" w:color="auto"/>
      </w:divBdr>
    </w:div>
    <w:div w:id="881866772">
      <w:bodyDiv w:val="1"/>
      <w:marLeft w:val="0"/>
      <w:marRight w:val="0"/>
      <w:marTop w:val="0"/>
      <w:marBottom w:val="0"/>
      <w:divBdr>
        <w:top w:val="none" w:sz="0" w:space="0" w:color="auto"/>
        <w:left w:val="none" w:sz="0" w:space="0" w:color="auto"/>
        <w:bottom w:val="none" w:sz="0" w:space="0" w:color="auto"/>
        <w:right w:val="none" w:sz="0" w:space="0" w:color="auto"/>
      </w:divBdr>
    </w:div>
    <w:div w:id="903953855">
      <w:bodyDiv w:val="1"/>
      <w:marLeft w:val="0"/>
      <w:marRight w:val="0"/>
      <w:marTop w:val="0"/>
      <w:marBottom w:val="0"/>
      <w:divBdr>
        <w:top w:val="none" w:sz="0" w:space="0" w:color="auto"/>
        <w:left w:val="none" w:sz="0" w:space="0" w:color="auto"/>
        <w:bottom w:val="none" w:sz="0" w:space="0" w:color="auto"/>
        <w:right w:val="none" w:sz="0" w:space="0" w:color="auto"/>
      </w:divBdr>
    </w:div>
    <w:div w:id="912741717">
      <w:bodyDiv w:val="1"/>
      <w:marLeft w:val="0"/>
      <w:marRight w:val="0"/>
      <w:marTop w:val="0"/>
      <w:marBottom w:val="0"/>
      <w:divBdr>
        <w:top w:val="none" w:sz="0" w:space="0" w:color="auto"/>
        <w:left w:val="none" w:sz="0" w:space="0" w:color="auto"/>
        <w:bottom w:val="none" w:sz="0" w:space="0" w:color="auto"/>
        <w:right w:val="none" w:sz="0" w:space="0" w:color="auto"/>
      </w:divBdr>
    </w:div>
    <w:div w:id="952441989">
      <w:bodyDiv w:val="1"/>
      <w:marLeft w:val="0"/>
      <w:marRight w:val="0"/>
      <w:marTop w:val="0"/>
      <w:marBottom w:val="0"/>
      <w:divBdr>
        <w:top w:val="none" w:sz="0" w:space="0" w:color="auto"/>
        <w:left w:val="none" w:sz="0" w:space="0" w:color="auto"/>
        <w:bottom w:val="none" w:sz="0" w:space="0" w:color="auto"/>
        <w:right w:val="none" w:sz="0" w:space="0" w:color="auto"/>
      </w:divBdr>
    </w:div>
    <w:div w:id="974261284">
      <w:bodyDiv w:val="1"/>
      <w:marLeft w:val="0"/>
      <w:marRight w:val="0"/>
      <w:marTop w:val="0"/>
      <w:marBottom w:val="0"/>
      <w:divBdr>
        <w:top w:val="none" w:sz="0" w:space="0" w:color="auto"/>
        <w:left w:val="none" w:sz="0" w:space="0" w:color="auto"/>
        <w:bottom w:val="none" w:sz="0" w:space="0" w:color="auto"/>
        <w:right w:val="none" w:sz="0" w:space="0" w:color="auto"/>
      </w:divBdr>
    </w:div>
    <w:div w:id="1004698228">
      <w:bodyDiv w:val="1"/>
      <w:marLeft w:val="0"/>
      <w:marRight w:val="0"/>
      <w:marTop w:val="0"/>
      <w:marBottom w:val="0"/>
      <w:divBdr>
        <w:top w:val="none" w:sz="0" w:space="0" w:color="auto"/>
        <w:left w:val="none" w:sz="0" w:space="0" w:color="auto"/>
        <w:bottom w:val="none" w:sz="0" w:space="0" w:color="auto"/>
        <w:right w:val="none" w:sz="0" w:space="0" w:color="auto"/>
      </w:divBdr>
    </w:div>
    <w:div w:id="1010448268">
      <w:bodyDiv w:val="1"/>
      <w:marLeft w:val="0"/>
      <w:marRight w:val="0"/>
      <w:marTop w:val="0"/>
      <w:marBottom w:val="0"/>
      <w:divBdr>
        <w:top w:val="none" w:sz="0" w:space="0" w:color="auto"/>
        <w:left w:val="none" w:sz="0" w:space="0" w:color="auto"/>
        <w:bottom w:val="none" w:sz="0" w:space="0" w:color="auto"/>
        <w:right w:val="none" w:sz="0" w:space="0" w:color="auto"/>
      </w:divBdr>
    </w:div>
    <w:div w:id="1061715805">
      <w:bodyDiv w:val="1"/>
      <w:marLeft w:val="0"/>
      <w:marRight w:val="0"/>
      <w:marTop w:val="0"/>
      <w:marBottom w:val="0"/>
      <w:divBdr>
        <w:top w:val="none" w:sz="0" w:space="0" w:color="auto"/>
        <w:left w:val="none" w:sz="0" w:space="0" w:color="auto"/>
        <w:bottom w:val="none" w:sz="0" w:space="0" w:color="auto"/>
        <w:right w:val="none" w:sz="0" w:space="0" w:color="auto"/>
      </w:divBdr>
    </w:div>
    <w:div w:id="1092310957">
      <w:bodyDiv w:val="1"/>
      <w:marLeft w:val="0"/>
      <w:marRight w:val="0"/>
      <w:marTop w:val="0"/>
      <w:marBottom w:val="0"/>
      <w:divBdr>
        <w:top w:val="none" w:sz="0" w:space="0" w:color="auto"/>
        <w:left w:val="none" w:sz="0" w:space="0" w:color="auto"/>
        <w:bottom w:val="none" w:sz="0" w:space="0" w:color="auto"/>
        <w:right w:val="none" w:sz="0" w:space="0" w:color="auto"/>
      </w:divBdr>
    </w:div>
    <w:div w:id="1140341907">
      <w:bodyDiv w:val="1"/>
      <w:marLeft w:val="0"/>
      <w:marRight w:val="0"/>
      <w:marTop w:val="0"/>
      <w:marBottom w:val="0"/>
      <w:divBdr>
        <w:top w:val="none" w:sz="0" w:space="0" w:color="auto"/>
        <w:left w:val="none" w:sz="0" w:space="0" w:color="auto"/>
        <w:bottom w:val="none" w:sz="0" w:space="0" w:color="auto"/>
        <w:right w:val="none" w:sz="0" w:space="0" w:color="auto"/>
      </w:divBdr>
    </w:div>
    <w:div w:id="1149597688">
      <w:bodyDiv w:val="1"/>
      <w:marLeft w:val="0"/>
      <w:marRight w:val="0"/>
      <w:marTop w:val="0"/>
      <w:marBottom w:val="0"/>
      <w:divBdr>
        <w:top w:val="none" w:sz="0" w:space="0" w:color="auto"/>
        <w:left w:val="none" w:sz="0" w:space="0" w:color="auto"/>
        <w:bottom w:val="none" w:sz="0" w:space="0" w:color="auto"/>
        <w:right w:val="none" w:sz="0" w:space="0" w:color="auto"/>
      </w:divBdr>
    </w:div>
    <w:div w:id="1166366023">
      <w:bodyDiv w:val="1"/>
      <w:marLeft w:val="0"/>
      <w:marRight w:val="0"/>
      <w:marTop w:val="0"/>
      <w:marBottom w:val="0"/>
      <w:divBdr>
        <w:top w:val="none" w:sz="0" w:space="0" w:color="auto"/>
        <w:left w:val="none" w:sz="0" w:space="0" w:color="auto"/>
        <w:bottom w:val="none" w:sz="0" w:space="0" w:color="auto"/>
        <w:right w:val="none" w:sz="0" w:space="0" w:color="auto"/>
      </w:divBdr>
    </w:div>
    <w:div w:id="1213080949">
      <w:bodyDiv w:val="1"/>
      <w:marLeft w:val="0"/>
      <w:marRight w:val="0"/>
      <w:marTop w:val="0"/>
      <w:marBottom w:val="0"/>
      <w:divBdr>
        <w:top w:val="none" w:sz="0" w:space="0" w:color="auto"/>
        <w:left w:val="none" w:sz="0" w:space="0" w:color="auto"/>
        <w:bottom w:val="none" w:sz="0" w:space="0" w:color="auto"/>
        <w:right w:val="none" w:sz="0" w:space="0" w:color="auto"/>
      </w:divBdr>
    </w:div>
    <w:div w:id="1218513406">
      <w:bodyDiv w:val="1"/>
      <w:marLeft w:val="0"/>
      <w:marRight w:val="0"/>
      <w:marTop w:val="0"/>
      <w:marBottom w:val="0"/>
      <w:divBdr>
        <w:top w:val="none" w:sz="0" w:space="0" w:color="auto"/>
        <w:left w:val="none" w:sz="0" w:space="0" w:color="auto"/>
        <w:bottom w:val="none" w:sz="0" w:space="0" w:color="auto"/>
        <w:right w:val="none" w:sz="0" w:space="0" w:color="auto"/>
      </w:divBdr>
    </w:div>
    <w:div w:id="1223952470">
      <w:bodyDiv w:val="1"/>
      <w:marLeft w:val="0"/>
      <w:marRight w:val="0"/>
      <w:marTop w:val="0"/>
      <w:marBottom w:val="0"/>
      <w:divBdr>
        <w:top w:val="none" w:sz="0" w:space="0" w:color="auto"/>
        <w:left w:val="none" w:sz="0" w:space="0" w:color="auto"/>
        <w:bottom w:val="none" w:sz="0" w:space="0" w:color="auto"/>
        <w:right w:val="none" w:sz="0" w:space="0" w:color="auto"/>
      </w:divBdr>
    </w:div>
    <w:div w:id="1224365759">
      <w:bodyDiv w:val="1"/>
      <w:marLeft w:val="0"/>
      <w:marRight w:val="0"/>
      <w:marTop w:val="0"/>
      <w:marBottom w:val="0"/>
      <w:divBdr>
        <w:top w:val="none" w:sz="0" w:space="0" w:color="auto"/>
        <w:left w:val="none" w:sz="0" w:space="0" w:color="auto"/>
        <w:bottom w:val="none" w:sz="0" w:space="0" w:color="auto"/>
        <w:right w:val="none" w:sz="0" w:space="0" w:color="auto"/>
      </w:divBdr>
    </w:div>
    <w:div w:id="1243376019">
      <w:bodyDiv w:val="1"/>
      <w:marLeft w:val="0"/>
      <w:marRight w:val="0"/>
      <w:marTop w:val="0"/>
      <w:marBottom w:val="0"/>
      <w:divBdr>
        <w:top w:val="none" w:sz="0" w:space="0" w:color="auto"/>
        <w:left w:val="none" w:sz="0" w:space="0" w:color="auto"/>
        <w:bottom w:val="none" w:sz="0" w:space="0" w:color="auto"/>
        <w:right w:val="none" w:sz="0" w:space="0" w:color="auto"/>
      </w:divBdr>
    </w:div>
    <w:div w:id="1248269793">
      <w:bodyDiv w:val="1"/>
      <w:marLeft w:val="0"/>
      <w:marRight w:val="0"/>
      <w:marTop w:val="0"/>
      <w:marBottom w:val="0"/>
      <w:divBdr>
        <w:top w:val="none" w:sz="0" w:space="0" w:color="auto"/>
        <w:left w:val="none" w:sz="0" w:space="0" w:color="auto"/>
        <w:bottom w:val="none" w:sz="0" w:space="0" w:color="auto"/>
        <w:right w:val="none" w:sz="0" w:space="0" w:color="auto"/>
      </w:divBdr>
    </w:div>
    <w:div w:id="1264801912">
      <w:bodyDiv w:val="1"/>
      <w:marLeft w:val="0"/>
      <w:marRight w:val="0"/>
      <w:marTop w:val="0"/>
      <w:marBottom w:val="0"/>
      <w:divBdr>
        <w:top w:val="none" w:sz="0" w:space="0" w:color="auto"/>
        <w:left w:val="none" w:sz="0" w:space="0" w:color="auto"/>
        <w:bottom w:val="none" w:sz="0" w:space="0" w:color="auto"/>
        <w:right w:val="none" w:sz="0" w:space="0" w:color="auto"/>
      </w:divBdr>
    </w:div>
    <w:div w:id="1290236868">
      <w:bodyDiv w:val="1"/>
      <w:marLeft w:val="0"/>
      <w:marRight w:val="0"/>
      <w:marTop w:val="0"/>
      <w:marBottom w:val="0"/>
      <w:divBdr>
        <w:top w:val="none" w:sz="0" w:space="0" w:color="auto"/>
        <w:left w:val="none" w:sz="0" w:space="0" w:color="auto"/>
        <w:bottom w:val="none" w:sz="0" w:space="0" w:color="auto"/>
        <w:right w:val="none" w:sz="0" w:space="0" w:color="auto"/>
      </w:divBdr>
    </w:div>
    <w:div w:id="1294483844">
      <w:bodyDiv w:val="1"/>
      <w:marLeft w:val="0"/>
      <w:marRight w:val="0"/>
      <w:marTop w:val="0"/>
      <w:marBottom w:val="0"/>
      <w:divBdr>
        <w:top w:val="none" w:sz="0" w:space="0" w:color="auto"/>
        <w:left w:val="none" w:sz="0" w:space="0" w:color="auto"/>
        <w:bottom w:val="none" w:sz="0" w:space="0" w:color="auto"/>
        <w:right w:val="none" w:sz="0" w:space="0" w:color="auto"/>
      </w:divBdr>
    </w:div>
    <w:div w:id="1340735876">
      <w:bodyDiv w:val="1"/>
      <w:marLeft w:val="0"/>
      <w:marRight w:val="0"/>
      <w:marTop w:val="0"/>
      <w:marBottom w:val="0"/>
      <w:divBdr>
        <w:top w:val="none" w:sz="0" w:space="0" w:color="auto"/>
        <w:left w:val="none" w:sz="0" w:space="0" w:color="auto"/>
        <w:bottom w:val="none" w:sz="0" w:space="0" w:color="auto"/>
        <w:right w:val="none" w:sz="0" w:space="0" w:color="auto"/>
      </w:divBdr>
    </w:div>
    <w:div w:id="1389263631">
      <w:bodyDiv w:val="1"/>
      <w:marLeft w:val="0"/>
      <w:marRight w:val="0"/>
      <w:marTop w:val="0"/>
      <w:marBottom w:val="0"/>
      <w:divBdr>
        <w:top w:val="none" w:sz="0" w:space="0" w:color="auto"/>
        <w:left w:val="none" w:sz="0" w:space="0" w:color="auto"/>
        <w:bottom w:val="none" w:sz="0" w:space="0" w:color="auto"/>
        <w:right w:val="none" w:sz="0" w:space="0" w:color="auto"/>
      </w:divBdr>
    </w:div>
    <w:div w:id="1411999610">
      <w:bodyDiv w:val="1"/>
      <w:marLeft w:val="0"/>
      <w:marRight w:val="0"/>
      <w:marTop w:val="0"/>
      <w:marBottom w:val="0"/>
      <w:divBdr>
        <w:top w:val="none" w:sz="0" w:space="0" w:color="auto"/>
        <w:left w:val="none" w:sz="0" w:space="0" w:color="auto"/>
        <w:bottom w:val="none" w:sz="0" w:space="0" w:color="auto"/>
        <w:right w:val="none" w:sz="0" w:space="0" w:color="auto"/>
      </w:divBdr>
    </w:div>
    <w:div w:id="1442382332">
      <w:bodyDiv w:val="1"/>
      <w:marLeft w:val="0"/>
      <w:marRight w:val="0"/>
      <w:marTop w:val="0"/>
      <w:marBottom w:val="0"/>
      <w:divBdr>
        <w:top w:val="none" w:sz="0" w:space="0" w:color="auto"/>
        <w:left w:val="none" w:sz="0" w:space="0" w:color="auto"/>
        <w:bottom w:val="none" w:sz="0" w:space="0" w:color="auto"/>
        <w:right w:val="none" w:sz="0" w:space="0" w:color="auto"/>
      </w:divBdr>
    </w:div>
    <w:div w:id="1504124865">
      <w:bodyDiv w:val="1"/>
      <w:marLeft w:val="0"/>
      <w:marRight w:val="0"/>
      <w:marTop w:val="0"/>
      <w:marBottom w:val="0"/>
      <w:divBdr>
        <w:top w:val="none" w:sz="0" w:space="0" w:color="auto"/>
        <w:left w:val="none" w:sz="0" w:space="0" w:color="auto"/>
        <w:bottom w:val="none" w:sz="0" w:space="0" w:color="auto"/>
        <w:right w:val="none" w:sz="0" w:space="0" w:color="auto"/>
      </w:divBdr>
    </w:div>
    <w:div w:id="1524173818">
      <w:bodyDiv w:val="1"/>
      <w:marLeft w:val="0"/>
      <w:marRight w:val="0"/>
      <w:marTop w:val="0"/>
      <w:marBottom w:val="0"/>
      <w:divBdr>
        <w:top w:val="none" w:sz="0" w:space="0" w:color="auto"/>
        <w:left w:val="none" w:sz="0" w:space="0" w:color="auto"/>
        <w:bottom w:val="none" w:sz="0" w:space="0" w:color="auto"/>
        <w:right w:val="none" w:sz="0" w:space="0" w:color="auto"/>
      </w:divBdr>
    </w:div>
    <w:div w:id="1526168553">
      <w:bodyDiv w:val="1"/>
      <w:marLeft w:val="0"/>
      <w:marRight w:val="0"/>
      <w:marTop w:val="0"/>
      <w:marBottom w:val="0"/>
      <w:divBdr>
        <w:top w:val="none" w:sz="0" w:space="0" w:color="auto"/>
        <w:left w:val="none" w:sz="0" w:space="0" w:color="auto"/>
        <w:bottom w:val="none" w:sz="0" w:space="0" w:color="auto"/>
        <w:right w:val="none" w:sz="0" w:space="0" w:color="auto"/>
      </w:divBdr>
    </w:div>
    <w:div w:id="1549029528">
      <w:bodyDiv w:val="1"/>
      <w:marLeft w:val="0"/>
      <w:marRight w:val="0"/>
      <w:marTop w:val="0"/>
      <w:marBottom w:val="0"/>
      <w:divBdr>
        <w:top w:val="none" w:sz="0" w:space="0" w:color="auto"/>
        <w:left w:val="none" w:sz="0" w:space="0" w:color="auto"/>
        <w:bottom w:val="none" w:sz="0" w:space="0" w:color="auto"/>
        <w:right w:val="none" w:sz="0" w:space="0" w:color="auto"/>
      </w:divBdr>
    </w:div>
    <w:div w:id="1549757898">
      <w:bodyDiv w:val="1"/>
      <w:marLeft w:val="0"/>
      <w:marRight w:val="0"/>
      <w:marTop w:val="0"/>
      <w:marBottom w:val="0"/>
      <w:divBdr>
        <w:top w:val="none" w:sz="0" w:space="0" w:color="auto"/>
        <w:left w:val="none" w:sz="0" w:space="0" w:color="auto"/>
        <w:bottom w:val="none" w:sz="0" w:space="0" w:color="auto"/>
        <w:right w:val="none" w:sz="0" w:space="0" w:color="auto"/>
      </w:divBdr>
    </w:div>
    <w:div w:id="1552696277">
      <w:bodyDiv w:val="1"/>
      <w:marLeft w:val="0"/>
      <w:marRight w:val="0"/>
      <w:marTop w:val="0"/>
      <w:marBottom w:val="0"/>
      <w:divBdr>
        <w:top w:val="none" w:sz="0" w:space="0" w:color="auto"/>
        <w:left w:val="none" w:sz="0" w:space="0" w:color="auto"/>
        <w:bottom w:val="none" w:sz="0" w:space="0" w:color="auto"/>
        <w:right w:val="none" w:sz="0" w:space="0" w:color="auto"/>
      </w:divBdr>
    </w:div>
    <w:div w:id="1568222244">
      <w:bodyDiv w:val="1"/>
      <w:marLeft w:val="0"/>
      <w:marRight w:val="0"/>
      <w:marTop w:val="0"/>
      <w:marBottom w:val="0"/>
      <w:divBdr>
        <w:top w:val="none" w:sz="0" w:space="0" w:color="auto"/>
        <w:left w:val="none" w:sz="0" w:space="0" w:color="auto"/>
        <w:bottom w:val="none" w:sz="0" w:space="0" w:color="auto"/>
        <w:right w:val="none" w:sz="0" w:space="0" w:color="auto"/>
      </w:divBdr>
    </w:div>
    <w:div w:id="1571115736">
      <w:bodyDiv w:val="1"/>
      <w:marLeft w:val="0"/>
      <w:marRight w:val="0"/>
      <w:marTop w:val="0"/>
      <w:marBottom w:val="0"/>
      <w:divBdr>
        <w:top w:val="none" w:sz="0" w:space="0" w:color="auto"/>
        <w:left w:val="none" w:sz="0" w:space="0" w:color="auto"/>
        <w:bottom w:val="none" w:sz="0" w:space="0" w:color="auto"/>
        <w:right w:val="none" w:sz="0" w:space="0" w:color="auto"/>
      </w:divBdr>
    </w:div>
    <w:div w:id="1611744001">
      <w:bodyDiv w:val="1"/>
      <w:marLeft w:val="0"/>
      <w:marRight w:val="0"/>
      <w:marTop w:val="0"/>
      <w:marBottom w:val="0"/>
      <w:divBdr>
        <w:top w:val="none" w:sz="0" w:space="0" w:color="auto"/>
        <w:left w:val="none" w:sz="0" w:space="0" w:color="auto"/>
        <w:bottom w:val="none" w:sz="0" w:space="0" w:color="auto"/>
        <w:right w:val="none" w:sz="0" w:space="0" w:color="auto"/>
      </w:divBdr>
    </w:div>
    <w:div w:id="1621762085">
      <w:bodyDiv w:val="1"/>
      <w:marLeft w:val="0"/>
      <w:marRight w:val="0"/>
      <w:marTop w:val="0"/>
      <w:marBottom w:val="0"/>
      <w:divBdr>
        <w:top w:val="none" w:sz="0" w:space="0" w:color="auto"/>
        <w:left w:val="none" w:sz="0" w:space="0" w:color="auto"/>
        <w:bottom w:val="none" w:sz="0" w:space="0" w:color="auto"/>
        <w:right w:val="none" w:sz="0" w:space="0" w:color="auto"/>
      </w:divBdr>
    </w:div>
    <w:div w:id="1628395365">
      <w:bodyDiv w:val="1"/>
      <w:marLeft w:val="0"/>
      <w:marRight w:val="0"/>
      <w:marTop w:val="0"/>
      <w:marBottom w:val="0"/>
      <w:divBdr>
        <w:top w:val="none" w:sz="0" w:space="0" w:color="auto"/>
        <w:left w:val="none" w:sz="0" w:space="0" w:color="auto"/>
        <w:bottom w:val="none" w:sz="0" w:space="0" w:color="auto"/>
        <w:right w:val="none" w:sz="0" w:space="0" w:color="auto"/>
      </w:divBdr>
    </w:div>
    <w:div w:id="1630550425">
      <w:bodyDiv w:val="1"/>
      <w:marLeft w:val="0"/>
      <w:marRight w:val="0"/>
      <w:marTop w:val="0"/>
      <w:marBottom w:val="0"/>
      <w:divBdr>
        <w:top w:val="none" w:sz="0" w:space="0" w:color="auto"/>
        <w:left w:val="none" w:sz="0" w:space="0" w:color="auto"/>
        <w:bottom w:val="none" w:sz="0" w:space="0" w:color="auto"/>
        <w:right w:val="none" w:sz="0" w:space="0" w:color="auto"/>
      </w:divBdr>
    </w:div>
    <w:div w:id="1634555777">
      <w:bodyDiv w:val="1"/>
      <w:marLeft w:val="0"/>
      <w:marRight w:val="0"/>
      <w:marTop w:val="0"/>
      <w:marBottom w:val="0"/>
      <w:divBdr>
        <w:top w:val="none" w:sz="0" w:space="0" w:color="auto"/>
        <w:left w:val="none" w:sz="0" w:space="0" w:color="auto"/>
        <w:bottom w:val="none" w:sz="0" w:space="0" w:color="auto"/>
        <w:right w:val="none" w:sz="0" w:space="0" w:color="auto"/>
      </w:divBdr>
    </w:div>
    <w:div w:id="1636905033">
      <w:bodyDiv w:val="1"/>
      <w:marLeft w:val="0"/>
      <w:marRight w:val="0"/>
      <w:marTop w:val="0"/>
      <w:marBottom w:val="0"/>
      <w:divBdr>
        <w:top w:val="none" w:sz="0" w:space="0" w:color="auto"/>
        <w:left w:val="none" w:sz="0" w:space="0" w:color="auto"/>
        <w:bottom w:val="none" w:sz="0" w:space="0" w:color="auto"/>
        <w:right w:val="none" w:sz="0" w:space="0" w:color="auto"/>
      </w:divBdr>
    </w:div>
    <w:div w:id="1637056192">
      <w:bodyDiv w:val="1"/>
      <w:marLeft w:val="0"/>
      <w:marRight w:val="0"/>
      <w:marTop w:val="0"/>
      <w:marBottom w:val="0"/>
      <w:divBdr>
        <w:top w:val="none" w:sz="0" w:space="0" w:color="auto"/>
        <w:left w:val="none" w:sz="0" w:space="0" w:color="auto"/>
        <w:bottom w:val="none" w:sz="0" w:space="0" w:color="auto"/>
        <w:right w:val="none" w:sz="0" w:space="0" w:color="auto"/>
      </w:divBdr>
    </w:div>
    <w:div w:id="1708527667">
      <w:bodyDiv w:val="1"/>
      <w:marLeft w:val="0"/>
      <w:marRight w:val="0"/>
      <w:marTop w:val="0"/>
      <w:marBottom w:val="0"/>
      <w:divBdr>
        <w:top w:val="none" w:sz="0" w:space="0" w:color="auto"/>
        <w:left w:val="none" w:sz="0" w:space="0" w:color="auto"/>
        <w:bottom w:val="none" w:sz="0" w:space="0" w:color="auto"/>
        <w:right w:val="none" w:sz="0" w:space="0" w:color="auto"/>
      </w:divBdr>
    </w:div>
    <w:div w:id="1710642068">
      <w:bodyDiv w:val="1"/>
      <w:marLeft w:val="0"/>
      <w:marRight w:val="0"/>
      <w:marTop w:val="0"/>
      <w:marBottom w:val="0"/>
      <w:divBdr>
        <w:top w:val="none" w:sz="0" w:space="0" w:color="auto"/>
        <w:left w:val="none" w:sz="0" w:space="0" w:color="auto"/>
        <w:bottom w:val="none" w:sz="0" w:space="0" w:color="auto"/>
        <w:right w:val="none" w:sz="0" w:space="0" w:color="auto"/>
      </w:divBdr>
    </w:div>
    <w:div w:id="1712074824">
      <w:bodyDiv w:val="1"/>
      <w:marLeft w:val="0"/>
      <w:marRight w:val="0"/>
      <w:marTop w:val="0"/>
      <w:marBottom w:val="0"/>
      <w:divBdr>
        <w:top w:val="none" w:sz="0" w:space="0" w:color="auto"/>
        <w:left w:val="none" w:sz="0" w:space="0" w:color="auto"/>
        <w:bottom w:val="none" w:sz="0" w:space="0" w:color="auto"/>
        <w:right w:val="none" w:sz="0" w:space="0" w:color="auto"/>
      </w:divBdr>
    </w:div>
    <w:div w:id="1747341645">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85421378">
      <w:bodyDiv w:val="1"/>
      <w:marLeft w:val="0"/>
      <w:marRight w:val="0"/>
      <w:marTop w:val="0"/>
      <w:marBottom w:val="0"/>
      <w:divBdr>
        <w:top w:val="none" w:sz="0" w:space="0" w:color="auto"/>
        <w:left w:val="none" w:sz="0" w:space="0" w:color="auto"/>
        <w:bottom w:val="none" w:sz="0" w:space="0" w:color="auto"/>
        <w:right w:val="none" w:sz="0" w:space="0" w:color="auto"/>
      </w:divBdr>
    </w:div>
    <w:div w:id="1806776156">
      <w:bodyDiv w:val="1"/>
      <w:marLeft w:val="0"/>
      <w:marRight w:val="0"/>
      <w:marTop w:val="0"/>
      <w:marBottom w:val="0"/>
      <w:divBdr>
        <w:top w:val="none" w:sz="0" w:space="0" w:color="auto"/>
        <w:left w:val="none" w:sz="0" w:space="0" w:color="auto"/>
        <w:bottom w:val="none" w:sz="0" w:space="0" w:color="auto"/>
        <w:right w:val="none" w:sz="0" w:space="0" w:color="auto"/>
      </w:divBdr>
    </w:div>
    <w:div w:id="1814903239">
      <w:bodyDiv w:val="1"/>
      <w:marLeft w:val="0"/>
      <w:marRight w:val="0"/>
      <w:marTop w:val="0"/>
      <w:marBottom w:val="0"/>
      <w:divBdr>
        <w:top w:val="none" w:sz="0" w:space="0" w:color="auto"/>
        <w:left w:val="none" w:sz="0" w:space="0" w:color="auto"/>
        <w:bottom w:val="none" w:sz="0" w:space="0" w:color="auto"/>
        <w:right w:val="none" w:sz="0" w:space="0" w:color="auto"/>
      </w:divBdr>
    </w:div>
    <w:div w:id="1843929518">
      <w:bodyDiv w:val="1"/>
      <w:marLeft w:val="0"/>
      <w:marRight w:val="0"/>
      <w:marTop w:val="0"/>
      <w:marBottom w:val="0"/>
      <w:divBdr>
        <w:top w:val="none" w:sz="0" w:space="0" w:color="auto"/>
        <w:left w:val="none" w:sz="0" w:space="0" w:color="auto"/>
        <w:bottom w:val="none" w:sz="0" w:space="0" w:color="auto"/>
        <w:right w:val="none" w:sz="0" w:space="0" w:color="auto"/>
      </w:divBdr>
    </w:div>
    <w:div w:id="1871994178">
      <w:bodyDiv w:val="1"/>
      <w:marLeft w:val="0"/>
      <w:marRight w:val="0"/>
      <w:marTop w:val="0"/>
      <w:marBottom w:val="0"/>
      <w:divBdr>
        <w:top w:val="none" w:sz="0" w:space="0" w:color="auto"/>
        <w:left w:val="none" w:sz="0" w:space="0" w:color="auto"/>
        <w:bottom w:val="none" w:sz="0" w:space="0" w:color="auto"/>
        <w:right w:val="none" w:sz="0" w:space="0" w:color="auto"/>
      </w:divBdr>
    </w:div>
    <w:div w:id="1878396592">
      <w:bodyDiv w:val="1"/>
      <w:marLeft w:val="0"/>
      <w:marRight w:val="0"/>
      <w:marTop w:val="0"/>
      <w:marBottom w:val="0"/>
      <w:divBdr>
        <w:top w:val="none" w:sz="0" w:space="0" w:color="auto"/>
        <w:left w:val="none" w:sz="0" w:space="0" w:color="auto"/>
        <w:bottom w:val="none" w:sz="0" w:space="0" w:color="auto"/>
        <w:right w:val="none" w:sz="0" w:space="0" w:color="auto"/>
      </w:divBdr>
    </w:div>
    <w:div w:id="1897355160">
      <w:bodyDiv w:val="1"/>
      <w:marLeft w:val="0"/>
      <w:marRight w:val="0"/>
      <w:marTop w:val="0"/>
      <w:marBottom w:val="0"/>
      <w:divBdr>
        <w:top w:val="none" w:sz="0" w:space="0" w:color="auto"/>
        <w:left w:val="none" w:sz="0" w:space="0" w:color="auto"/>
        <w:bottom w:val="none" w:sz="0" w:space="0" w:color="auto"/>
        <w:right w:val="none" w:sz="0" w:space="0" w:color="auto"/>
      </w:divBdr>
    </w:div>
    <w:div w:id="1904754962">
      <w:bodyDiv w:val="1"/>
      <w:marLeft w:val="0"/>
      <w:marRight w:val="0"/>
      <w:marTop w:val="0"/>
      <w:marBottom w:val="0"/>
      <w:divBdr>
        <w:top w:val="none" w:sz="0" w:space="0" w:color="auto"/>
        <w:left w:val="none" w:sz="0" w:space="0" w:color="auto"/>
        <w:bottom w:val="none" w:sz="0" w:space="0" w:color="auto"/>
        <w:right w:val="none" w:sz="0" w:space="0" w:color="auto"/>
      </w:divBdr>
    </w:div>
    <w:div w:id="1933126683">
      <w:bodyDiv w:val="1"/>
      <w:marLeft w:val="0"/>
      <w:marRight w:val="0"/>
      <w:marTop w:val="0"/>
      <w:marBottom w:val="0"/>
      <w:divBdr>
        <w:top w:val="none" w:sz="0" w:space="0" w:color="auto"/>
        <w:left w:val="none" w:sz="0" w:space="0" w:color="auto"/>
        <w:bottom w:val="none" w:sz="0" w:space="0" w:color="auto"/>
        <w:right w:val="none" w:sz="0" w:space="0" w:color="auto"/>
      </w:divBdr>
    </w:div>
    <w:div w:id="1957059146">
      <w:bodyDiv w:val="1"/>
      <w:marLeft w:val="0"/>
      <w:marRight w:val="0"/>
      <w:marTop w:val="0"/>
      <w:marBottom w:val="0"/>
      <w:divBdr>
        <w:top w:val="none" w:sz="0" w:space="0" w:color="auto"/>
        <w:left w:val="none" w:sz="0" w:space="0" w:color="auto"/>
        <w:bottom w:val="none" w:sz="0" w:space="0" w:color="auto"/>
        <w:right w:val="none" w:sz="0" w:space="0" w:color="auto"/>
      </w:divBdr>
    </w:div>
    <w:div w:id="1963923536">
      <w:bodyDiv w:val="1"/>
      <w:marLeft w:val="0"/>
      <w:marRight w:val="0"/>
      <w:marTop w:val="0"/>
      <w:marBottom w:val="0"/>
      <w:divBdr>
        <w:top w:val="none" w:sz="0" w:space="0" w:color="auto"/>
        <w:left w:val="none" w:sz="0" w:space="0" w:color="auto"/>
        <w:bottom w:val="none" w:sz="0" w:space="0" w:color="auto"/>
        <w:right w:val="none" w:sz="0" w:space="0" w:color="auto"/>
      </w:divBdr>
    </w:div>
    <w:div w:id="1966959605">
      <w:bodyDiv w:val="1"/>
      <w:marLeft w:val="0"/>
      <w:marRight w:val="0"/>
      <w:marTop w:val="0"/>
      <w:marBottom w:val="0"/>
      <w:divBdr>
        <w:top w:val="none" w:sz="0" w:space="0" w:color="auto"/>
        <w:left w:val="none" w:sz="0" w:space="0" w:color="auto"/>
        <w:bottom w:val="none" w:sz="0" w:space="0" w:color="auto"/>
        <w:right w:val="none" w:sz="0" w:space="0" w:color="auto"/>
      </w:divBdr>
    </w:div>
    <w:div w:id="1985965056">
      <w:bodyDiv w:val="1"/>
      <w:marLeft w:val="0"/>
      <w:marRight w:val="0"/>
      <w:marTop w:val="0"/>
      <w:marBottom w:val="0"/>
      <w:divBdr>
        <w:top w:val="none" w:sz="0" w:space="0" w:color="auto"/>
        <w:left w:val="none" w:sz="0" w:space="0" w:color="auto"/>
        <w:bottom w:val="none" w:sz="0" w:space="0" w:color="auto"/>
        <w:right w:val="none" w:sz="0" w:space="0" w:color="auto"/>
      </w:divBdr>
    </w:div>
    <w:div w:id="2014650803">
      <w:bodyDiv w:val="1"/>
      <w:marLeft w:val="0"/>
      <w:marRight w:val="0"/>
      <w:marTop w:val="0"/>
      <w:marBottom w:val="0"/>
      <w:divBdr>
        <w:top w:val="none" w:sz="0" w:space="0" w:color="auto"/>
        <w:left w:val="none" w:sz="0" w:space="0" w:color="auto"/>
        <w:bottom w:val="none" w:sz="0" w:space="0" w:color="auto"/>
        <w:right w:val="none" w:sz="0" w:space="0" w:color="auto"/>
      </w:divBdr>
    </w:div>
    <w:div w:id="2025551212">
      <w:bodyDiv w:val="1"/>
      <w:marLeft w:val="0"/>
      <w:marRight w:val="0"/>
      <w:marTop w:val="0"/>
      <w:marBottom w:val="0"/>
      <w:divBdr>
        <w:top w:val="none" w:sz="0" w:space="0" w:color="auto"/>
        <w:left w:val="none" w:sz="0" w:space="0" w:color="auto"/>
        <w:bottom w:val="none" w:sz="0" w:space="0" w:color="auto"/>
        <w:right w:val="none" w:sz="0" w:space="0" w:color="auto"/>
      </w:divBdr>
    </w:div>
    <w:div w:id="2036543510">
      <w:bodyDiv w:val="1"/>
      <w:marLeft w:val="0"/>
      <w:marRight w:val="0"/>
      <w:marTop w:val="0"/>
      <w:marBottom w:val="0"/>
      <w:divBdr>
        <w:top w:val="none" w:sz="0" w:space="0" w:color="auto"/>
        <w:left w:val="none" w:sz="0" w:space="0" w:color="auto"/>
        <w:bottom w:val="none" w:sz="0" w:space="0" w:color="auto"/>
        <w:right w:val="none" w:sz="0" w:space="0" w:color="auto"/>
      </w:divBdr>
    </w:div>
    <w:div w:id="2040543597">
      <w:bodyDiv w:val="1"/>
      <w:marLeft w:val="0"/>
      <w:marRight w:val="0"/>
      <w:marTop w:val="0"/>
      <w:marBottom w:val="0"/>
      <w:divBdr>
        <w:top w:val="none" w:sz="0" w:space="0" w:color="auto"/>
        <w:left w:val="none" w:sz="0" w:space="0" w:color="auto"/>
        <w:bottom w:val="none" w:sz="0" w:space="0" w:color="auto"/>
        <w:right w:val="none" w:sz="0" w:space="0" w:color="auto"/>
      </w:divBdr>
    </w:div>
    <w:div w:id="2044598567">
      <w:bodyDiv w:val="1"/>
      <w:marLeft w:val="0"/>
      <w:marRight w:val="0"/>
      <w:marTop w:val="0"/>
      <w:marBottom w:val="0"/>
      <w:divBdr>
        <w:top w:val="none" w:sz="0" w:space="0" w:color="auto"/>
        <w:left w:val="none" w:sz="0" w:space="0" w:color="auto"/>
        <w:bottom w:val="none" w:sz="0" w:space="0" w:color="auto"/>
        <w:right w:val="none" w:sz="0" w:space="0" w:color="auto"/>
      </w:divBdr>
    </w:div>
    <w:div w:id="2082022862">
      <w:bodyDiv w:val="1"/>
      <w:marLeft w:val="0"/>
      <w:marRight w:val="0"/>
      <w:marTop w:val="0"/>
      <w:marBottom w:val="0"/>
      <w:divBdr>
        <w:top w:val="none" w:sz="0" w:space="0" w:color="auto"/>
        <w:left w:val="none" w:sz="0" w:space="0" w:color="auto"/>
        <w:bottom w:val="none" w:sz="0" w:space="0" w:color="auto"/>
        <w:right w:val="none" w:sz="0" w:space="0" w:color="auto"/>
      </w:divBdr>
    </w:div>
    <w:div w:id="2090420287">
      <w:bodyDiv w:val="1"/>
      <w:marLeft w:val="0"/>
      <w:marRight w:val="0"/>
      <w:marTop w:val="0"/>
      <w:marBottom w:val="0"/>
      <w:divBdr>
        <w:top w:val="none" w:sz="0" w:space="0" w:color="auto"/>
        <w:left w:val="none" w:sz="0" w:space="0" w:color="auto"/>
        <w:bottom w:val="none" w:sz="0" w:space="0" w:color="auto"/>
        <w:right w:val="none" w:sz="0" w:space="0" w:color="auto"/>
      </w:divBdr>
    </w:div>
    <w:div w:id="2107457790">
      <w:bodyDiv w:val="1"/>
      <w:marLeft w:val="0"/>
      <w:marRight w:val="0"/>
      <w:marTop w:val="0"/>
      <w:marBottom w:val="0"/>
      <w:divBdr>
        <w:top w:val="none" w:sz="0" w:space="0" w:color="auto"/>
        <w:left w:val="none" w:sz="0" w:space="0" w:color="auto"/>
        <w:bottom w:val="none" w:sz="0" w:space="0" w:color="auto"/>
        <w:right w:val="none" w:sz="0" w:space="0" w:color="auto"/>
      </w:divBdr>
    </w:div>
    <w:div w:id="2116365695">
      <w:bodyDiv w:val="1"/>
      <w:marLeft w:val="0"/>
      <w:marRight w:val="0"/>
      <w:marTop w:val="0"/>
      <w:marBottom w:val="0"/>
      <w:divBdr>
        <w:top w:val="none" w:sz="0" w:space="0" w:color="auto"/>
        <w:left w:val="none" w:sz="0" w:space="0" w:color="auto"/>
        <w:bottom w:val="none" w:sz="0" w:space="0" w:color="auto"/>
        <w:right w:val="none" w:sz="0" w:space="0" w:color="auto"/>
      </w:divBdr>
    </w:div>
    <w:div w:id="2120373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F9BD.419698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C65A-7379-4546-A0DC-209D82E6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Ucare</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 Som</dc:creator>
  <cp:keywords/>
  <dc:description/>
  <cp:lastModifiedBy>Chia Yang</cp:lastModifiedBy>
  <cp:revision>5</cp:revision>
  <cp:lastPrinted>2021-03-05T16:16:00Z</cp:lastPrinted>
  <dcterms:created xsi:type="dcterms:W3CDTF">2026-03-17T16:45:00Z</dcterms:created>
  <dcterms:modified xsi:type="dcterms:W3CDTF">2026-03-17T20:22:00Z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2014-07-24T00:00:00Z</vt:filetime>
  </property>
  <property fmtid="{D5CDD505-2E9C-101B-9397-08002B2CF9AE}" pid="3" name="LastSaved">
    <vt:filetime>2014-10-08T00:00:00Z</vt:filetime>
  </property>
</Properties>
</file>