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86287" w14:textId="67FA93B7" w:rsidR="004A3F96" w:rsidRPr="00A05F99" w:rsidRDefault="004A3F96" w:rsidP="00CB7322">
      <w:pPr>
        <w:spacing w:before="24"/>
        <w:ind w:right="-20"/>
        <w:rPr>
          <w:rFonts w:ascii="Verdana" w:eastAsia="Times New Roman" w:hAnsi="Verdana" w:cs="Times New Roman"/>
          <w:bCs/>
          <w:spacing w:val="2"/>
        </w:rPr>
      </w:pPr>
      <w:proofErr w:type="spellStart"/>
      <w:r w:rsidRPr="00A05F99">
        <w:rPr>
          <w:rFonts w:ascii="Verdana" w:eastAsia="Times New Roman" w:hAnsi="Verdana" w:cs="Times New Roman"/>
          <w:bCs/>
          <w:spacing w:val="2"/>
        </w:rPr>
        <w:t>UCare</w:t>
      </w:r>
      <w:r w:rsidR="00440BB7" w:rsidRPr="00A05F99">
        <w:rPr>
          <w:rFonts w:ascii="Verdana" w:eastAsia="Times New Roman" w:hAnsi="Verdana" w:cs="Times New Roman"/>
          <w:bCs/>
          <w:spacing w:val="2"/>
        </w:rPr>
        <w:t>’s</w:t>
      </w:r>
      <w:proofErr w:type="spellEnd"/>
      <w:r w:rsidRPr="00A05F99">
        <w:rPr>
          <w:rFonts w:ascii="Verdana" w:eastAsia="Times New Roman" w:hAnsi="Verdana" w:cs="Times New Roman"/>
          <w:bCs/>
          <w:spacing w:val="2"/>
        </w:rPr>
        <w:t xml:space="preserve"> Pharmacy and Therapeutics Committee (P&amp;T) is a group of physicians and pharmacists that meet throughout </w:t>
      </w:r>
      <w:r w:rsidR="00AD66FA" w:rsidRPr="00A05F99">
        <w:rPr>
          <w:rFonts w:ascii="Verdana" w:eastAsia="Times New Roman" w:hAnsi="Verdana" w:cs="Times New Roman"/>
          <w:bCs/>
          <w:spacing w:val="2"/>
        </w:rPr>
        <w:t>the year to make changes to UCare formularies</w:t>
      </w:r>
      <w:r w:rsidR="00875379" w:rsidRPr="00A05F99">
        <w:rPr>
          <w:rFonts w:ascii="Verdana" w:eastAsia="Times New Roman" w:hAnsi="Verdana" w:cs="Times New Roman"/>
          <w:bCs/>
          <w:spacing w:val="2"/>
        </w:rPr>
        <w:t xml:space="preserve"> (approved drug list). </w:t>
      </w:r>
      <w:r w:rsidRPr="00A05F99">
        <w:rPr>
          <w:rFonts w:ascii="Verdana" w:eastAsia="Times New Roman" w:hAnsi="Verdana" w:cs="Times New Roman"/>
          <w:bCs/>
          <w:spacing w:val="2"/>
        </w:rPr>
        <w:t>These changes are reviewed based on clinical evidence</w:t>
      </w:r>
      <w:r w:rsidR="0063466E" w:rsidRPr="00A05F99">
        <w:rPr>
          <w:rFonts w:ascii="Verdana" w:eastAsia="Times New Roman" w:hAnsi="Verdana" w:cs="Times New Roman"/>
          <w:bCs/>
          <w:spacing w:val="2"/>
        </w:rPr>
        <w:t xml:space="preserve">, safety, and </w:t>
      </w:r>
      <w:r w:rsidR="00875379" w:rsidRPr="00A05F99">
        <w:rPr>
          <w:rFonts w:ascii="Verdana" w:eastAsia="Times New Roman" w:hAnsi="Verdana" w:cs="Times New Roman"/>
          <w:bCs/>
          <w:spacing w:val="2"/>
        </w:rPr>
        <w:t xml:space="preserve">therapeutic guidelines. </w:t>
      </w:r>
      <w:r w:rsidRPr="00A05F99">
        <w:rPr>
          <w:rFonts w:ascii="Verdana" w:eastAsia="Times New Roman" w:hAnsi="Verdana" w:cs="Times New Roman"/>
          <w:bCs/>
          <w:spacing w:val="2"/>
        </w:rPr>
        <w:t xml:space="preserve">All changes that </w:t>
      </w:r>
      <w:r w:rsidR="0063466E" w:rsidRPr="00A05F99">
        <w:rPr>
          <w:rFonts w:ascii="Verdana" w:eastAsia="Times New Roman" w:hAnsi="Verdana" w:cs="Times New Roman"/>
          <w:bCs/>
          <w:spacing w:val="2"/>
        </w:rPr>
        <w:t xml:space="preserve">are </w:t>
      </w:r>
      <w:r w:rsidRPr="00A05F99">
        <w:rPr>
          <w:rFonts w:ascii="Verdana" w:eastAsia="Times New Roman" w:hAnsi="Verdana" w:cs="Times New Roman"/>
          <w:bCs/>
          <w:spacing w:val="2"/>
        </w:rPr>
        <w:t xml:space="preserve">recommended by P&amp;T </w:t>
      </w:r>
      <w:r w:rsidR="00CB7322" w:rsidRPr="00A05F99">
        <w:rPr>
          <w:rFonts w:ascii="Verdana" w:eastAsia="Times New Roman" w:hAnsi="Verdana" w:cs="Times New Roman"/>
          <w:bCs/>
          <w:spacing w:val="2"/>
        </w:rPr>
        <w:t xml:space="preserve">for the Medicare formularies </w:t>
      </w:r>
      <w:r w:rsidRPr="00A05F99">
        <w:rPr>
          <w:rFonts w:ascii="Verdana" w:eastAsia="Times New Roman" w:hAnsi="Verdana" w:cs="Times New Roman"/>
          <w:bCs/>
          <w:spacing w:val="2"/>
        </w:rPr>
        <w:t>are tentative un</w:t>
      </w:r>
      <w:r w:rsidR="00CB7322" w:rsidRPr="00A05F99">
        <w:rPr>
          <w:rFonts w:ascii="Verdana" w:eastAsia="Times New Roman" w:hAnsi="Verdana" w:cs="Times New Roman"/>
          <w:bCs/>
          <w:spacing w:val="2"/>
        </w:rPr>
        <w:t>til UCare receives final CMS approval.</w:t>
      </w:r>
    </w:p>
    <w:p w14:paraId="65087A81" w14:textId="77777777" w:rsidR="004A3F96" w:rsidRPr="00A05F99" w:rsidRDefault="004A3F96" w:rsidP="004A3F96">
      <w:pPr>
        <w:spacing w:before="24"/>
        <w:ind w:left="569" w:right="-20"/>
        <w:rPr>
          <w:rFonts w:ascii="Verdana" w:eastAsia="Times New Roman" w:hAnsi="Verdana" w:cs="Times New Roman"/>
          <w:bCs/>
          <w:spacing w:val="2"/>
        </w:rPr>
      </w:pPr>
    </w:p>
    <w:p w14:paraId="1150A02D" w14:textId="77777777" w:rsidR="00B81F89" w:rsidRPr="00A05F99" w:rsidRDefault="004A3F96" w:rsidP="00CB7322">
      <w:pPr>
        <w:spacing w:before="24"/>
        <w:ind w:right="-20"/>
        <w:rPr>
          <w:rFonts w:ascii="Verdana" w:eastAsia="Times New Roman" w:hAnsi="Verdana" w:cs="Times New Roman"/>
          <w:bCs/>
          <w:spacing w:val="2"/>
          <w:u w:val="single"/>
        </w:rPr>
      </w:pPr>
      <w:r w:rsidRPr="00A05F99">
        <w:rPr>
          <w:rFonts w:ascii="Verdana" w:eastAsia="Times New Roman" w:hAnsi="Verdana" w:cs="Times New Roman"/>
          <w:bCs/>
          <w:spacing w:val="2"/>
          <w:u w:val="single"/>
        </w:rPr>
        <w:t>Key:</w:t>
      </w:r>
    </w:p>
    <w:p w14:paraId="5D1D94BF" w14:textId="112F53CD" w:rsidR="00B81F89" w:rsidRPr="00A05F99" w:rsidRDefault="00400E1D" w:rsidP="00CB7322">
      <w:pPr>
        <w:spacing w:before="24"/>
        <w:ind w:right="-20"/>
        <w:rPr>
          <w:rFonts w:ascii="Verdana" w:eastAsia="Times New Roman" w:hAnsi="Verdana" w:cs="Times New Roman"/>
          <w:bCs/>
          <w:spacing w:val="2"/>
        </w:rPr>
      </w:pPr>
      <w:r w:rsidRPr="00A05F99">
        <w:rPr>
          <w:rFonts w:ascii="Verdana" w:eastAsia="Times New Roman" w:hAnsi="Verdana" w:cs="Times New Roman"/>
          <w:bCs/>
          <w:spacing w:val="2"/>
        </w:rPr>
        <w:t xml:space="preserve">Medicare: </w:t>
      </w:r>
      <w:r w:rsidR="001B70F1" w:rsidRPr="00A05F99">
        <w:rPr>
          <w:rFonts w:ascii="Verdana" w:eastAsia="Times New Roman" w:hAnsi="Verdana" w:cs="Times New Roman"/>
          <w:bCs/>
          <w:spacing w:val="2"/>
        </w:rPr>
        <w:t>UC</w:t>
      </w:r>
      <w:r w:rsidR="00B81F89" w:rsidRPr="00A05F99">
        <w:rPr>
          <w:rFonts w:ascii="Verdana" w:eastAsia="Times New Roman" w:hAnsi="Verdana" w:cs="Times New Roman"/>
          <w:bCs/>
          <w:spacing w:val="2"/>
        </w:rPr>
        <w:t>ar</w:t>
      </w:r>
      <w:r w:rsidRPr="00A05F99">
        <w:rPr>
          <w:rFonts w:ascii="Verdana" w:eastAsia="Times New Roman" w:hAnsi="Verdana" w:cs="Times New Roman"/>
          <w:bCs/>
          <w:spacing w:val="2"/>
        </w:rPr>
        <w:t>e</w:t>
      </w:r>
      <w:r w:rsidR="005A0F54" w:rsidRPr="00A05F99">
        <w:rPr>
          <w:rFonts w:ascii="Verdana" w:eastAsia="Times New Roman" w:hAnsi="Verdana" w:cs="Times New Roman"/>
          <w:bCs/>
          <w:spacing w:val="2"/>
        </w:rPr>
        <w:t xml:space="preserve"> Medicare</w:t>
      </w:r>
      <w:r w:rsidRPr="00A05F99">
        <w:rPr>
          <w:rFonts w:ascii="Verdana" w:eastAsia="Times New Roman" w:hAnsi="Verdana" w:cs="Times New Roman"/>
          <w:bCs/>
          <w:spacing w:val="2"/>
        </w:rPr>
        <w:t>,</w:t>
      </w:r>
      <w:r w:rsidR="005A0F54" w:rsidRPr="00A05F99">
        <w:rPr>
          <w:rFonts w:ascii="Verdana" w:eastAsia="Times New Roman" w:hAnsi="Verdana" w:cs="Times New Roman"/>
          <w:bCs/>
          <w:spacing w:val="2"/>
        </w:rPr>
        <w:t xml:space="preserve"> UCare Medicare with Fairview and North Memorial,</w:t>
      </w:r>
      <w:r w:rsidRPr="00A05F99">
        <w:rPr>
          <w:rFonts w:ascii="Verdana" w:eastAsia="Times New Roman" w:hAnsi="Verdana" w:cs="Times New Roman"/>
          <w:bCs/>
          <w:spacing w:val="2"/>
        </w:rPr>
        <w:t xml:space="preserve"> </w:t>
      </w:r>
      <w:r w:rsidR="005A0F54" w:rsidRPr="00A05F99">
        <w:rPr>
          <w:rFonts w:ascii="Verdana" w:eastAsia="Times New Roman" w:hAnsi="Verdana" w:cs="Times New Roman"/>
          <w:bCs/>
          <w:spacing w:val="2"/>
        </w:rPr>
        <w:t xml:space="preserve">UCare Group Medicare, </w:t>
      </w:r>
      <w:proofErr w:type="spellStart"/>
      <w:r w:rsidR="00523363" w:rsidRPr="00A05F99">
        <w:rPr>
          <w:rFonts w:ascii="Verdana" w:eastAsia="Times New Roman" w:hAnsi="Verdana" w:cs="Times New Roman"/>
          <w:bCs/>
          <w:spacing w:val="2"/>
        </w:rPr>
        <w:t>EssentiaCare</w:t>
      </w:r>
      <w:proofErr w:type="spellEnd"/>
      <w:r w:rsidR="00523363" w:rsidRPr="00A05F99">
        <w:rPr>
          <w:rFonts w:ascii="Verdana" w:eastAsia="Times New Roman" w:hAnsi="Verdana" w:cs="Times New Roman"/>
          <w:bCs/>
          <w:spacing w:val="2"/>
        </w:rPr>
        <w:t xml:space="preserve">, </w:t>
      </w:r>
      <w:r w:rsidRPr="00A05F99">
        <w:rPr>
          <w:rFonts w:ascii="Verdana" w:eastAsia="Times New Roman" w:hAnsi="Verdana" w:cs="Times New Roman"/>
          <w:bCs/>
          <w:spacing w:val="2"/>
        </w:rPr>
        <w:t>Minnesota Sen</w:t>
      </w:r>
      <w:r w:rsidR="00523363" w:rsidRPr="00A05F99">
        <w:rPr>
          <w:rFonts w:ascii="Verdana" w:eastAsia="Times New Roman" w:hAnsi="Verdana" w:cs="Times New Roman"/>
          <w:bCs/>
          <w:spacing w:val="2"/>
        </w:rPr>
        <w:t>ior Health Options</w:t>
      </w:r>
      <w:r w:rsidR="005A0F54" w:rsidRPr="00A05F99">
        <w:rPr>
          <w:rFonts w:ascii="Verdana" w:eastAsia="Times New Roman" w:hAnsi="Verdana" w:cs="Times New Roman"/>
          <w:bCs/>
          <w:spacing w:val="2"/>
        </w:rPr>
        <w:t xml:space="preserve"> (MSHO)</w:t>
      </w:r>
      <w:r w:rsidR="00523363" w:rsidRPr="00A05F99">
        <w:rPr>
          <w:rFonts w:ascii="Verdana" w:eastAsia="Times New Roman" w:hAnsi="Verdana" w:cs="Times New Roman"/>
          <w:bCs/>
          <w:spacing w:val="2"/>
        </w:rPr>
        <w:t xml:space="preserve"> </w:t>
      </w:r>
      <w:r w:rsidR="005C2E2A" w:rsidRPr="00A05F99">
        <w:rPr>
          <w:rFonts w:ascii="Verdana" w:eastAsia="Times New Roman" w:hAnsi="Verdana" w:cs="Times New Roman"/>
          <w:bCs/>
          <w:spacing w:val="2"/>
        </w:rPr>
        <w:t xml:space="preserve">&amp; </w:t>
      </w:r>
      <w:proofErr w:type="gramStart"/>
      <w:r w:rsidR="005C2E2A" w:rsidRPr="00A05F99">
        <w:rPr>
          <w:rFonts w:ascii="Verdana" w:eastAsia="Times New Roman" w:hAnsi="Verdana" w:cs="Times New Roman"/>
          <w:bCs/>
          <w:spacing w:val="2"/>
        </w:rPr>
        <w:t>Connect</w:t>
      </w:r>
      <w:proofErr w:type="gramEnd"/>
      <w:r w:rsidR="005C2E2A" w:rsidRPr="00A05F99">
        <w:rPr>
          <w:rFonts w:ascii="Verdana" w:eastAsia="Times New Roman" w:hAnsi="Verdana" w:cs="Times New Roman"/>
          <w:bCs/>
          <w:spacing w:val="2"/>
        </w:rPr>
        <w:t xml:space="preserve"> + Medicare </w:t>
      </w:r>
    </w:p>
    <w:p w14:paraId="7EDBF446" w14:textId="712FB4C0" w:rsidR="0005632B" w:rsidRPr="00A05F99" w:rsidRDefault="00854C16" w:rsidP="00CB7322">
      <w:pPr>
        <w:spacing w:before="24"/>
        <w:ind w:right="-20"/>
        <w:rPr>
          <w:rFonts w:ascii="Verdana" w:eastAsia="Times New Roman" w:hAnsi="Verdana" w:cs="Times New Roman"/>
          <w:bCs/>
          <w:spacing w:val="2"/>
        </w:rPr>
      </w:pPr>
      <w:r>
        <w:rPr>
          <w:rFonts w:ascii="Verdana" w:eastAsia="Times New Roman" w:hAnsi="Verdana" w:cs="Times New Roman"/>
          <w:bCs/>
          <w:spacing w:val="2"/>
        </w:rPr>
        <w:t>Medical Assistance</w:t>
      </w:r>
      <w:r w:rsidR="00400E1D" w:rsidRPr="00A05F99">
        <w:rPr>
          <w:rFonts w:ascii="Verdana" w:eastAsia="Times New Roman" w:hAnsi="Verdana" w:cs="Times New Roman"/>
          <w:bCs/>
          <w:spacing w:val="2"/>
        </w:rPr>
        <w:t xml:space="preserve">: PMAP, </w:t>
      </w:r>
      <w:proofErr w:type="spellStart"/>
      <w:r w:rsidR="00400E1D" w:rsidRPr="00A05F99">
        <w:rPr>
          <w:rFonts w:ascii="Verdana" w:eastAsia="Times New Roman" w:hAnsi="Verdana" w:cs="Times New Roman"/>
          <w:bCs/>
          <w:spacing w:val="2"/>
        </w:rPr>
        <w:t>MnCare</w:t>
      </w:r>
      <w:proofErr w:type="spellEnd"/>
      <w:r w:rsidR="00400E1D" w:rsidRPr="00A05F99">
        <w:rPr>
          <w:rFonts w:ascii="Verdana" w:eastAsia="Times New Roman" w:hAnsi="Verdana" w:cs="Times New Roman"/>
          <w:bCs/>
          <w:spacing w:val="2"/>
        </w:rPr>
        <w:t>, MSC+ &amp; Connect</w:t>
      </w:r>
    </w:p>
    <w:p w14:paraId="6F77E887" w14:textId="5944DAAC" w:rsidR="00400E1D" w:rsidRPr="00A05F99" w:rsidRDefault="00400E1D" w:rsidP="00CB7322">
      <w:pPr>
        <w:spacing w:before="24"/>
        <w:ind w:right="-20"/>
        <w:rPr>
          <w:rFonts w:ascii="Verdana" w:eastAsia="Times New Roman" w:hAnsi="Verdana" w:cs="Times New Roman"/>
          <w:bCs/>
          <w:spacing w:val="2"/>
        </w:rPr>
      </w:pPr>
      <w:r w:rsidRPr="00A05F99">
        <w:rPr>
          <w:rFonts w:ascii="Verdana" w:eastAsia="Times New Roman" w:hAnsi="Verdana" w:cs="Times New Roman"/>
          <w:bCs/>
          <w:spacing w:val="2"/>
        </w:rPr>
        <w:t xml:space="preserve">Exchange: UCare </w:t>
      </w:r>
      <w:r w:rsidR="005A0F54" w:rsidRPr="00A05F99">
        <w:rPr>
          <w:rFonts w:ascii="Verdana" w:eastAsia="Times New Roman" w:hAnsi="Verdana" w:cs="Times New Roman"/>
          <w:bCs/>
          <w:spacing w:val="2"/>
        </w:rPr>
        <w:t>Individual and Family Plans</w:t>
      </w:r>
    </w:p>
    <w:p w14:paraId="4185E2F5" w14:textId="77777777" w:rsidR="00303B44" w:rsidRPr="00A05F99" w:rsidRDefault="00303B44" w:rsidP="00CB7322">
      <w:pPr>
        <w:spacing w:before="24"/>
        <w:ind w:right="-20"/>
        <w:rPr>
          <w:rFonts w:ascii="Verdana" w:eastAsia="Times New Roman" w:hAnsi="Verdana" w:cs="Times New Roman"/>
          <w:bCs/>
          <w:spacing w:val="2"/>
        </w:rPr>
      </w:pPr>
    </w:p>
    <w:p w14:paraId="7985106C" w14:textId="0A85FDAA" w:rsidR="004A3F96" w:rsidRPr="00A05F99" w:rsidRDefault="00303B44" w:rsidP="00CB7322">
      <w:pPr>
        <w:spacing w:before="24"/>
        <w:ind w:right="-20"/>
        <w:rPr>
          <w:rFonts w:ascii="Verdana" w:eastAsia="Times New Roman" w:hAnsi="Verdana" w:cs="Times New Roman"/>
          <w:bCs/>
          <w:spacing w:val="2"/>
        </w:rPr>
      </w:pPr>
      <w:r w:rsidRPr="00A05F99">
        <w:rPr>
          <w:rFonts w:ascii="Verdana" w:eastAsia="Times New Roman" w:hAnsi="Verdana" w:cs="Times New Roman"/>
          <w:bCs/>
          <w:spacing w:val="2"/>
        </w:rPr>
        <w:t>F</w:t>
      </w:r>
      <w:r w:rsidR="00347603" w:rsidRPr="00A05F99">
        <w:rPr>
          <w:rFonts w:ascii="Verdana" w:eastAsia="Times New Roman" w:hAnsi="Verdana" w:cs="Times New Roman"/>
          <w:bCs/>
          <w:spacing w:val="2"/>
        </w:rPr>
        <w:t xml:space="preserve">: </w:t>
      </w:r>
      <w:r w:rsidRPr="00A05F99">
        <w:rPr>
          <w:rFonts w:ascii="Verdana" w:eastAsia="Times New Roman" w:hAnsi="Verdana" w:cs="Times New Roman"/>
          <w:bCs/>
          <w:spacing w:val="2"/>
        </w:rPr>
        <w:t>Formulary</w:t>
      </w:r>
      <w:r w:rsidR="00B81F89" w:rsidRPr="00A05F99">
        <w:rPr>
          <w:rFonts w:ascii="Verdana" w:eastAsia="Times New Roman" w:hAnsi="Verdana" w:cs="Times New Roman"/>
          <w:bCs/>
          <w:spacing w:val="2"/>
        </w:rPr>
        <w:tab/>
      </w:r>
      <w:r w:rsidR="00B81F89" w:rsidRPr="00A05F99">
        <w:rPr>
          <w:rFonts w:ascii="Verdana" w:eastAsia="Times New Roman" w:hAnsi="Verdana" w:cs="Times New Roman"/>
          <w:bCs/>
          <w:spacing w:val="2"/>
        </w:rPr>
        <w:tab/>
      </w:r>
      <w:r w:rsidR="00B81F89" w:rsidRPr="00A05F99">
        <w:rPr>
          <w:rFonts w:ascii="Verdana" w:eastAsia="Times New Roman" w:hAnsi="Verdana" w:cs="Times New Roman"/>
          <w:bCs/>
          <w:spacing w:val="2"/>
        </w:rPr>
        <w:tab/>
      </w:r>
      <w:r w:rsidR="00B81F89" w:rsidRPr="00A05F99">
        <w:rPr>
          <w:rFonts w:ascii="Verdana" w:eastAsia="Times New Roman" w:hAnsi="Verdana" w:cs="Times New Roman"/>
          <w:bCs/>
          <w:spacing w:val="2"/>
        </w:rPr>
        <w:tab/>
      </w:r>
      <w:r w:rsidR="00B81F89" w:rsidRPr="00A05F99">
        <w:rPr>
          <w:rFonts w:ascii="Verdana" w:eastAsia="Times New Roman" w:hAnsi="Verdana" w:cs="Times New Roman"/>
          <w:bCs/>
          <w:spacing w:val="2"/>
        </w:rPr>
        <w:tab/>
      </w:r>
      <w:r w:rsidR="00B81F89" w:rsidRPr="00A05F99">
        <w:rPr>
          <w:rFonts w:ascii="Verdana" w:eastAsia="Times New Roman" w:hAnsi="Verdana" w:cs="Times New Roman"/>
          <w:bCs/>
          <w:spacing w:val="2"/>
        </w:rPr>
        <w:tab/>
      </w:r>
      <w:r w:rsidR="00B81F89" w:rsidRPr="00A05F99">
        <w:rPr>
          <w:rFonts w:ascii="Verdana" w:eastAsia="Times New Roman" w:hAnsi="Verdana" w:cs="Times New Roman"/>
          <w:bCs/>
          <w:spacing w:val="2"/>
        </w:rPr>
        <w:tab/>
      </w:r>
    </w:p>
    <w:p w14:paraId="00D3FA92" w14:textId="7173AA21" w:rsidR="00173929" w:rsidRPr="00A05F99" w:rsidRDefault="00173929" w:rsidP="00173929">
      <w:pPr>
        <w:spacing w:before="24"/>
        <w:ind w:right="-20"/>
        <w:rPr>
          <w:rFonts w:ascii="Verdana" w:eastAsia="Times New Roman" w:hAnsi="Verdana" w:cs="Times New Roman"/>
          <w:bCs/>
          <w:spacing w:val="2"/>
        </w:rPr>
      </w:pPr>
      <w:r w:rsidRPr="00A05F99">
        <w:rPr>
          <w:rFonts w:ascii="Verdana" w:eastAsia="Times New Roman" w:hAnsi="Verdana" w:cs="Times New Roman"/>
          <w:bCs/>
          <w:spacing w:val="2"/>
        </w:rPr>
        <w:t>NF</w:t>
      </w:r>
      <w:r w:rsidR="00347603" w:rsidRPr="00A05F99">
        <w:rPr>
          <w:rFonts w:ascii="Verdana" w:eastAsia="Times New Roman" w:hAnsi="Verdana" w:cs="Times New Roman"/>
          <w:bCs/>
          <w:spacing w:val="2"/>
        </w:rPr>
        <w:t xml:space="preserve">: </w:t>
      </w:r>
      <w:r w:rsidRPr="00A05F99">
        <w:rPr>
          <w:rFonts w:ascii="Verdana" w:eastAsia="Times New Roman" w:hAnsi="Verdana" w:cs="Times New Roman"/>
          <w:bCs/>
          <w:spacing w:val="2"/>
        </w:rPr>
        <w:t>Non-formulary</w:t>
      </w:r>
    </w:p>
    <w:p w14:paraId="5F4065EA" w14:textId="7C8229A1" w:rsidR="004934D4" w:rsidRPr="00A05F99" w:rsidRDefault="004934D4" w:rsidP="00844806">
      <w:pPr>
        <w:spacing w:before="24"/>
        <w:ind w:right="-20"/>
        <w:rPr>
          <w:rFonts w:ascii="Verdana" w:eastAsia="Times New Roman" w:hAnsi="Verdana" w:cs="Times New Roman"/>
          <w:bCs/>
          <w:spacing w:val="2"/>
        </w:rPr>
      </w:pPr>
      <w:r w:rsidRPr="00A05F99">
        <w:rPr>
          <w:rFonts w:ascii="Verdana" w:eastAsia="Times New Roman" w:hAnsi="Verdana" w:cs="Times New Roman"/>
          <w:bCs/>
          <w:spacing w:val="2"/>
        </w:rPr>
        <w:t>PA</w:t>
      </w:r>
      <w:r w:rsidR="00347603" w:rsidRPr="00A05F99">
        <w:rPr>
          <w:rFonts w:ascii="Verdana" w:eastAsia="Times New Roman" w:hAnsi="Verdana" w:cs="Times New Roman"/>
          <w:bCs/>
          <w:spacing w:val="2"/>
        </w:rPr>
        <w:t xml:space="preserve">: </w:t>
      </w:r>
      <w:r w:rsidRPr="00A05F99">
        <w:rPr>
          <w:rFonts w:ascii="Verdana" w:eastAsia="Times New Roman" w:hAnsi="Verdana" w:cs="Times New Roman"/>
          <w:bCs/>
          <w:spacing w:val="2"/>
        </w:rPr>
        <w:t xml:space="preserve">Prior Authorization </w:t>
      </w:r>
    </w:p>
    <w:p w14:paraId="2971532A" w14:textId="05202C80" w:rsidR="00844806" w:rsidRPr="00A05F99" w:rsidRDefault="004934D4" w:rsidP="00844806">
      <w:pPr>
        <w:spacing w:before="24"/>
        <w:ind w:right="-20"/>
        <w:rPr>
          <w:rFonts w:ascii="Verdana" w:eastAsia="Times New Roman" w:hAnsi="Verdana" w:cs="Times New Roman"/>
          <w:bCs/>
          <w:spacing w:val="2"/>
        </w:rPr>
      </w:pPr>
      <w:r w:rsidRPr="00A05F99">
        <w:rPr>
          <w:rFonts w:ascii="Verdana" w:eastAsia="Times New Roman" w:hAnsi="Verdana" w:cs="Times New Roman"/>
          <w:bCs/>
          <w:spacing w:val="2"/>
        </w:rPr>
        <w:t>QL</w:t>
      </w:r>
      <w:r w:rsidR="00347603" w:rsidRPr="00A05F99">
        <w:rPr>
          <w:rFonts w:ascii="Verdana" w:eastAsia="Times New Roman" w:hAnsi="Verdana" w:cs="Times New Roman"/>
          <w:bCs/>
          <w:spacing w:val="2"/>
        </w:rPr>
        <w:t xml:space="preserve">: </w:t>
      </w:r>
      <w:r w:rsidRPr="00A05F99">
        <w:rPr>
          <w:rFonts w:ascii="Verdana" w:eastAsia="Times New Roman" w:hAnsi="Verdana" w:cs="Times New Roman"/>
          <w:bCs/>
          <w:spacing w:val="2"/>
        </w:rPr>
        <w:t>Quantity Limit</w:t>
      </w:r>
      <w:r w:rsidRPr="00A05F99">
        <w:rPr>
          <w:rFonts w:ascii="Verdana" w:eastAsia="Times New Roman" w:hAnsi="Verdana" w:cs="Times New Roman"/>
          <w:bCs/>
          <w:spacing w:val="2"/>
        </w:rPr>
        <w:tab/>
      </w:r>
      <w:r w:rsidRPr="00A05F99">
        <w:rPr>
          <w:rFonts w:ascii="Verdana" w:eastAsia="Times New Roman" w:hAnsi="Verdana" w:cs="Times New Roman"/>
          <w:bCs/>
          <w:spacing w:val="2"/>
        </w:rPr>
        <w:tab/>
      </w:r>
      <w:r w:rsidRPr="00A05F99">
        <w:rPr>
          <w:rFonts w:ascii="Verdana" w:eastAsia="Times New Roman" w:hAnsi="Verdana" w:cs="Times New Roman"/>
          <w:bCs/>
          <w:spacing w:val="2"/>
        </w:rPr>
        <w:tab/>
      </w:r>
      <w:r w:rsidRPr="00A05F99">
        <w:rPr>
          <w:rFonts w:ascii="Verdana" w:eastAsia="Times New Roman" w:hAnsi="Verdana" w:cs="Times New Roman"/>
          <w:bCs/>
          <w:spacing w:val="2"/>
        </w:rPr>
        <w:tab/>
      </w:r>
      <w:r w:rsidRPr="00A05F99">
        <w:rPr>
          <w:rFonts w:ascii="Verdana" w:eastAsia="Times New Roman" w:hAnsi="Verdana" w:cs="Times New Roman"/>
          <w:bCs/>
          <w:spacing w:val="2"/>
        </w:rPr>
        <w:tab/>
      </w:r>
    </w:p>
    <w:p w14:paraId="495D3ADA" w14:textId="6D1B218A" w:rsidR="004934D4" w:rsidRPr="00A05F99" w:rsidRDefault="004934D4" w:rsidP="00844806">
      <w:pPr>
        <w:spacing w:before="24"/>
        <w:ind w:right="-20"/>
        <w:rPr>
          <w:rFonts w:ascii="Verdana" w:eastAsia="Times New Roman" w:hAnsi="Verdana" w:cs="Times New Roman"/>
          <w:bCs/>
          <w:spacing w:val="2"/>
        </w:rPr>
      </w:pPr>
      <w:r w:rsidRPr="00A05F99">
        <w:rPr>
          <w:rFonts w:ascii="Verdana" w:eastAsia="Times New Roman" w:hAnsi="Verdana" w:cs="Times New Roman"/>
          <w:bCs/>
          <w:spacing w:val="2"/>
        </w:rPr>
        <w:t>ST</w:t>
      </w:r>
      <w:r w:rsidR="00347603" w:rsidRPr="00A05F99">
        <w:rPr>
          <w:rFonts w:ascii="Verdana" w:eastAsia="Times New Roman" w:hAnsi="Verdana" w:cs="Times New Roman"/>
          <w:bCs/>
          <w:spacing w:val="2"/>
        </w:rPr>
        <w:t xml:space="preserve">: </w:t>
      </w:r>
      <w:r w:rsidRPr="00A05F99">
        <w:rPr>
          <w:rFonts w:ascii="Verdana" w:eastAsia="Times New Roman" w:hAnsi="Verdana" w:cs="Times New Roman"/>
          <w:bCs/>
          <w:spacing w:val="2"/>
        </w:rPr>
        <w:t>Step Therapy</w:t>
      </w:r>
    </w:p>
    <w:p w14:paraId="440A392E" w14:textId="63A1AAD7" w:rsidR="005E2989" w:rsidRDefault="005E2989" w:rsidP="00844806">
      <w:pPr>
        <w:spacing w:before="24"/>
        <w:ind w:right="-20"/>
        <w:rPr>
          <w:rFonts w:ascii="Verdana" w:eastAsia="Times New Roman" w:hAnsi="Verdana" w:cs="Times New Roman"/>
          <w:bCs/>
          <w:spacing w:val="2"/>
        </w:rPr>
      </w:pPr>
    </w:p>
    <w:tbl>
      <w:tblPr>
        <w:tblStyle w:val="LightList-Accent5"/>
        <w:tblW w:w="10890" w:type="dxa"/>
        <w:tblInd w:w="-95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4B4A2D" w:rsidRPr="00BA7E1A" w14:paraId="39A37783" w14:textId="77777777" w:rsidTr="004A49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shd w:val="clear" w:color="auto" w:fill="00205B"/>
          </w:tcPr>
          <w:p w14:paraId="1C3508E8" w14:textId="27723C7B" w:rsidR="004B4A2D" w:rsidRPr="00852F8C" w:rsidRDefault="004B4A2D" w:rsidP="00FB392C">
            <w:pPr>
              <w:spacing w:after="240"/>
              <w:rPr>
                <w:rFonts w:ascii="Verdana" w:hAnsi="Verdana"/>
                <w:sz w:val="20"/>
                <w:szCs w:val="20"/>
              </w:rPr>
            </w:pPr>
            <w:r w:rsidRPr="00852F8C">
              <w:rPr>
                <w:rFonts w:ascii="Verdana" w:hAnsi="Verdana"/>
                <w:sz w:val="20"/>
                <w:szCs w:val="20"/>
              </w:rPr>
              <w:t xml:space="preserve">New </w:t>
            </w:r>
            <w:r w:rsidR="004A4967" w:rsidRPr="00852F8C">
              <w:rPr>
                <w:rFonts w:ascii="Verdana" w:hAnsi="Verdana"/>
                <w:sz w:val="20"/>
                <w:szCs w:val="20"/>
              </w:rPr>
              <w:t>Drug</w:t>
            </w:r>
            <w:r w:rsidRPr="00852F8C">
              <w:rPr>
                <w:rFonts w:ascii="Verdana" w:hAnsi="Verdana"/>
                <w:sz w:val="20"/>
                <w:szCs w:val="20"/>
              </w:rPr>
              <w:t xml:space="preserve"> Review </w:t>
            </w:r>
          </w:p>
        </w:tc>
      </w:tr>
    </w:tbl>
    <w:tbl>
      <w:tblPr>
        <w:tblStyle w:val="TableGrid"/>
        <w:tblW w:w="1089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2970"/>
        <w:gridCol w:w="3330"/>
        <w:gridCol w:w="3150"/>
        <w:gridCol w:w="1440"/>
      </w:tblGrid>
      <w:tr w:rsidR="00E77836" w14:paraId="28A73A21" w14:textId="77777777" w:rsidTr="00B727CC">
        <w:tc>
          <w:tcPr>
            <w:tcW w:w="2970" w:type="dxa"/>
          </w:tcPr>
          <w:p w14:paraId="4F2C9E27" w14:textId="77777777" w:rsidR="004B4A2D" w:rsidRPr="00A05F99" w:rsidRDefault="004B4A2D" w:rsidP="00FB392C">
            <w:pPr>
              <w:spacing w:after="240"/>
              <w:rPr>
                <w:rFonts w:ascii="Verdana" w:hAnsi="Verdana"/>
              </w:rPr>
            </w:pPr>
            <w:r w:rsidRPr="00A05F99">
              <w:rPr>
                <w:rFonts w:ascii="Verdana" w:hAnsi="Verdana"/>
                <w:b/>
                <w:bCs/>
              </w:rPr>
              <w:t xml:space="preserve">Drug </w:t>
            </w:r>
          </w:p>
        </w:tc>
        <w:tc>
          <w:tcPr>
            <w:tcW w:w="3330" w:type="dxa"/>
          </w:tcPr>
          <w:p w14:paraId="7DBC1588" w14:textId="492A40AC" w:rsidR="004B4A2D" w:rsidRPr="00A05F99" w:rsidRDefault="004B4A2D" w:rsidP="00FB392C">
            <w:pPr>
              <w:spacing w:after="240"/>
              <w:rPr>
                <w:rFonts w:ascii="Verdana" w:hAnsi="Verdana"/>
              </w:rPr>
            </w:pPr>
            <w:r w:rsidRPr="00A05F99">
              <w:rPr>
                <w:rFonts w:ascii="Verdana" w:hAnsi="Verdana"/>
                <w:b/>
                <w:bCs/>
              </w:rPr>
              <w:t>Indication</w:t>
            </w:r>
          </w:p>
        </w:tc>
        <w:tc>
          <w:tcPr>
            <w:tcW w:w="3150" w:type="dxa"/>
          </w:tcPr>
          <w:p w14:paraId="6E42E2D8" w14:textId="302EC425" w:rsidR="004B4A2D" w:rsidRPr="00A05F99" w:rsidRDefault="004B4A2D" w:rsidP="00FB392C">
            <w:pPr>
              <w:spacing w:after="240"/>
              <w:rPr>
                <w:rFonts w:ascii="Verdana" w:hAnsi="Verdana"/>
                <w:b/>
                <w:bCs/>
              </w:rPr>
            </w:pPr>
            <w:r w:rsidRPr="00A05F99">
              <w:rPr>
                <w:rFonts w:ascii="Verdana" w:hAnsi="Verdana"/>
                <w:b/>
                <w:bCs/>
              </w:rPr>
              <w:t>Formulary Coverage</w:t>
            </w:r>
          </w:p>
        </w:tc>
        <w:tc>
          <w:tcPr>
            <w:tcW w:w="1440" w:type="dxa"/>
          </w:tcPr>
          <w:p w14:paraId="3392FAAB" w14:textId="66DD6409" w:rsidR="004B4A2D" w:rsidRPr="00A05F99" w:rsidRDefault="004B4A2D" w:rsidP="00FB392C">
            <w:pPr>
              <w:spacing w:after="240"/>
              <w:rPr>
                <w:rFonts w:ascii="Verdana" w:hAnsi="Verdana"/>
              </w:rPr>
            </w:pPr>
            <w:r w:rsidRPr="00A05F99">
              <w:rPr>
                <w:rFonts w:ascii="Verdana" w:hAnsi="Verdana"/>
                <w:b/>
                <w:bCs/>
              </w:rPr>
              <w:t>Effective Date</w:t>
            </w:r>
          </w:p>
        </w:tc>
      </w:tr>
      <w:tr w:rsidR="0073594F" w:rsidRPr="00852F8C" w14:paraId="2427BC04" w14:textId="77777777" w:rsidTr="00B727CC">
        <w:tc>
          <w:tcPr>
            <w:tcW w:w="2970" w:type="dxa"/>
          </w:tcPr>
          <w:p w14:paraId="326DCCD2" w14:textId="4AB6B2D7" w:rsidR="0073594F" w:rsidRPr="000C6EF5" w:rsidRDefault="00BB0BF1" w:rsidP="0073594F">
            <w:pPr>
              <w:rPr>
                <w:rFonts w:ascii="Verdana" w:hAnsi="Verdana" w:cs="Arial"/>
                <w:bCs/>
              </w:rPr>
            </w:pPr>
            <w:proofErr w:type="spellStart"/>
            <w:r w:rsidRPr="000C6EF5">
              <w:rPr>
                <w:rFonts w:ascii="Verdana" w:hAnsi="Verdana" w:cs="Arial"/>
                <w:bCs/>
              </w:rPr>
              <w:t>Attruby</w:t>
            </w:r>
            <w:proofErr w:type="spellEnd"/>
            <w:r w:rsidRPr="000C6EF5">
              <w:rPr>
                <w:rFonts w:ascii="Verdana" w:hAnsi="Verdana" w:cs="Arial"/>
                <w:bCs/>
              </w:rPr>
              <w:t xml:space="preserve"> (</w:t>
            </w:r>
            <w:proofErr w:type="spellStart"/>
            <w:r w:rsidRPr="000C6EF5">
              <w:rPr>
                <w:rFonts w:ascii="Verdana" w:hAnsi="Verdana" w:cs="Arial"/>
                <w:bCs/>
              </w:rPr>
              <w:t>acoramidis</w:t>
            </w:r>
            <w:proofErr w:type="spellEnd"/>
            <w:r w:rsidRPr="000C6EF5">
              <w:rPr>
                <w:rFonts w:ascii="Verdana" w:hAnsi="Verdana" w:cs="Arial"/>
                <w:bCs/>
              </w:rPr>
              <w:t>)</w:t>
            </w:r>
          </w:p>
        </w:tc>
        <w:tc>
          <w:tcPr>
            <w:tcW w:w="3330" w:type="dxa"/>
          </w:tcPr>
          <w:p w14:paraId="39575D0C" w14:textId="30742659" w:rsidR="0073594F" w:rsidRPr="00837406" w:rsidRDefault="00BB0BF1" w:rsidP="0073594F">
            <w:pPr>
              <w:rPr>
                <w:rFonts w:ascii="Verdana" w:hAnsi="Verdana"/>
                <w:sz w:val="20"/>
                <w:szCs w:val="20"/>
                <w:u w:val="single"/>
              </w:rPr>
            </w:pPr>
            <w:r w:rsidRPr="00BB7994">
              <w:rPr>
                <w:rFonts w:ascii="Verdana" w:hAnsi="Verdana" w:cstheme="minorHAnsi"/>
                <w:iCs/>
              </w:rPr>
              <w:t>Treatment of cardiomyopathy of wild-type or variant transthyretin-mediated amyloidosis (ATTR-CM) in adults to reduced cardiovascular death and cardiovascular-related hospitalization.</w:t>
            </w:r>
          </w:p>
        </w:tc>
        <w:tc>
          <w:tcPr>
            <w:tcW w:w="3150" w:type="dxa"/>
          </w:tcPr>
          <w:p w14:paraId="01375115" w14:textId="77777777" w:rsidR="00C22D05" w:rsidRDefault="00C22D05" w:rsidP="00C22D0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Medicare: Formulary</w:t>
            </w:r>
          </w:p>
          <w:p w14:paraId="422E4F79" w14:textId="5611D056" w:rsidR="00C22D05" w:rsidRPr="00B727CC" w:rsidRDefault="00C22D05" w:rsidP="00C22D0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Medical Assistance: Non-Formulary</w:t>
            </w:r>
            <w:r>
              <w:rPr>
                <w:rFonts w:ascii="Verdana" w:hAnsi="Verdana"/>
              </w:rPr>
              <w:br/>
              <w:t>Exchange: Formulary w/PA &amp; QL</w:t>
            </w:r>
          </w:p>
          <w:p w14:paraId="44B475AE" w14:textId="20D84793" w:rsidR="0073594F" w:rsidRPr="00C22D05" w:rsidRDefault="0073594F" w:rsidP="0073594F"/>
        </w:tc>
        <w:tc>
          <w:tcPr>
            <w:tcW w:w="1440" w:type="dxa"/>
          </w:tcPr>
          <w:p w14:paraId="00B112B8" w14:textId="78B85DD8" w:rsidR="0073594F" w:rsidRPr="00B727CC" w:rsidRDefault="0073594F" w:rsidP="0073594F">
            <w:pPr>
              <w:rPr>
                <w:rFonts w:ascii="Verdana" w:eastAsia="Times New Roman" w:hAnsi="Verdana" w:cs="Arial"/>
              </w:rPr>
            </w:pPr>
            <w:r w:rsidRPr="00B727CC">
              <w:rPr>
                <w:rFonts w:ascii="Verdana" w:eastAsia="Times New Roman" w:hAnsi="Verdana" w:cs="Arial"/>
              </w:rPr>
              <w:t>NA</w:t>
            </w:r>
          </w:p>
        </w:tc>
      </w:tr>
      <w:tr w:rsidR="0073594F" w:rsidRPr="00852F8C" w14:paraId="12F2BC56" w14:textId="77777777" w:rsidTr="00B727CC">
        <w:tc>
          <w:tcPr>
            <w:tcW w:w="2970" w:type="dxa"/>
          </w:tcPr>
          <w:p w14:paraId="2364AE83" w14:textId="343CBFAD" w:rsidR="0073594F" w:rsidRPr="000C6EF5" w:rsidRDefault="00C22D05" w:rsidP="0073594F">
            <w:pPr>
              <w:rPr>
                <w:rFonts w:ascii="Verdana" w:hAnsi="Verdana" w:cs="Arial"/>
                <w:bCs/>
              </w:rPr>
            </w:pPr>
            <w:proofErr w:type="spellStart"/>
            <w:r w:rsidRPr="000C6EF5">
              <w:rPr>
                <w:rFonts w:ascii="Verdana" w:hAnsi="Verdana" w:cs="Arial"/>
                <w:bCs/>
              </w:rPr>
              <w:t>Alhemo</w:t>
            </w:r>
            <w:proofErr w:type="spellEnd"/>
            <w:r w:rsidRPr="000C6EF5">
              <w:rPr>
                <w:rFonts w:ascii="Verdana" w:hAnsi="Verdana" w:cs="Arial"/>
                <w:bCs/>
              </w:rPr>
              <w:t xml:space="preserve"> (</w:t>
            </w:r>
            <w:proofErr w:type="spellStart"/>
            <w:r w:rsidRPr="000C6EF5">
              <w:rPr>
                <w:rFonts w:ascii="Verdana" w:hAnsi="Verdana" w:cs="Arial"/>
                <w:bCs/>
              </w:rPr>
              <w:t>concizumab</w:t>
            </w:r>
            <w:proofErr w:type="spellEnd"/>
            <w:r w:rsidRPr="000C6EF5">
              <w:rPr>
                <w:rFonts w:ascii="Verdana" w:hAnsi="Verdana" w:cs="Arial"/>
                <w:bCs/>
              </w:rPr>
              <w:t>)</w:t>
            </w:r>
          </w:p>
        </w:tc>
        <w:tc>
          <w:tcPr>
            <w:tcW w:w="3330" w:type="dxa"/>
          </w:tcPr>
          <w:p w14:paraId="68879A63" w14:textId="23A78F49" w:rsidR="0073594F" w:rsidRPr="005A5771" w:rsidRDefault="00C22D05" w:rsidP="0073594F">
            <w:pPr>
              <w:rPr>
                <w:rFonts w:ascii="Verdana" w:hAnsi="Verdana"/>
                <w:b/>
                <w:u w:val="single"/>
              </w:rPr>
            </w:pPr>
            <w:r w:rsidRPr="00BB7994">
              <w:rPr>
                <w:rFonts w:ascii="Verdana" w:hAnsi="Verdana" w:cstheme="minorHAnsi"/>
                <w:iCs/>
              </w:rPr>
              <w:t>Routine prophylaxis to prevent or reduce bleeding episodes in patients aged 12 years and older with hemophilia A or B, both with or without inhibitors to Factor VIII or IX respectively.</w:t>
            </w:r>
          </w:p>
        </w:tc>
        <w:tc>
          <w:tcPr>
            <w:tcW w:w="3150" w:type="dxa"/>
          </w:tcPr>
          <w:p w14:paraId="50ABE306" w14:textId="77777777" w:rsidR="00C22D05" w:rsidRDefault="00C22D05" w:rsidP="00C22D0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Medicare: Formulary</w:t>
            </w:r>
          </w:p>
          <w:p w14:paraId="6D31343E" w14:textId="216FF475" w:rsidR="00C22D05" w:rsidRPr="00B727CC" w:rsidRDefault="00C22D05" w:rsidP="00C22D0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Medical Assistance: Formulary w/PA</w:t>
            </w:r>
            <w:r>
              <w:rPr>
                <w:rFonts w:ascii="Verdana" w:hAnsi="Verdana"/>
              </w:rPr>
              <w:br/>
              <w:t>Exchange: Formulary w/PA</w:t>
            </w:r>
          </w:p>
          <w:p w14:paraId="38B94024" w14:textId="500FF5A0" w:rsidR="0073594F" w:rsidRPr="00B727CC" w:rsidRDefault="0073594F" w:rsidP="0073594F">
            <w:pPr>
              <w:rPr>
                <w:rFonts w:ascii="Verdana" w:hAnsi="Verdana"/>
              </w:rPr>
            </w:pPr>
          </w:p>
        </w:tc>
        <w:tc>
          <w:tcPr>
            <w:tcW w:w="1440" w:type="dxa"/>
          </w:tcPr>
          <w:p w14:paraId="27DAE0E7" w14:textId="7D393568" w:rsidR="0073594F" w:rsidRPr="00B727CC" w:rsidRDefault="005A5771" w:rsidP="0073594F">
            <w:pPr>
              <w:rPr>
                <w:rFonts w:ascii="Verdana" w:eastAsia="Times New Roman" w:hAnsi="Verdana" w:cs="Arial"/>
              </w:rPr>
            </w:pPr>
            <w:r w:rsidRPr="00B727CC">
              <w:rPr>
                <w:rFonts w:ascii="Verdana" w:eastAsia="Times New Roman" w:hAnsi="Verdana" w:cs="Arial"/>
              </w:rPr>
              <w:t>NA</w:t>
            </w:r>
          </w:p>
        </w:tc>
      </w:tr>
      <w:tr w:rsidR="0073594F" w:rsidRPr="00852F8C" w14:paraId="244883DA" w14:textId="77777777" w:rsidTr="00B727CC">
        <w:tc>
          <w:tcPr>
            <w:tcW w:w="2970" w:type="dxa"/>
          </w:tcPr>
          <w:p w14:paraId="052FEE7C" w14:textId="4F66412E" w:rsidR="00330E7F" w:rsidRPr="000C6EF5" w:rsidRDefault="00C22D05" w:rsidP="0073594F">
            <w:pPr>
              <w:rPr>
                <w:rFonts w:ascii="Verdana" w:eastAsia="Times New Roman" w:hAnsi="Verdana" w:cs="Arial"/>
                <w:bCs/>
                <w:sz w:val="20"/>
                <w:szCs w:val="20"/>
              </w:rPr>
            </w:pPr>
            <w:proofErr w:type="spellStart"/>
            <w:r w:rsidRPr="000C6EF5">
              <w:rPr>
                <w:rFonts w:ascii="Verdana" w:hAnsi="Verdana" w:cs="Arial"/>
                <w:bCs/>
              </w:rPr>
              <w:t>Hympavzi</w:t>
            </w:r>
            <w:proofErr w:type="spellEnd"/>
            <w:r w:rsidRPr="000C6EF5">
              <w:rPr>
                <w:rFonts w:ascii="Verdana" w:hAnsi="Verdana" w:cs="Arial"/>
                <w:bCs/>
              </w:rPr>
              <w:t xml:space="preserve"> (</w:t>
            </w:r>
            <w:proofErr w:type="spellStart"/>
            <w:r w:rsidRPr="000C6EF5">
              <w:rPr>
                <w:rFonts w:ascii="Verdana" w:hAnsi="Verdana" w:cs="Arial"/>
                <w:bCs/>
              </w:rPr>
              <w:t>marstacimab</w:t>
            </w:r>
            <w:proofErr w:type="spellEnd"/>
            <w:r w:rsidRPr="000C6EF5">
              <w:rPr>
                <w:rFonts w:ascii="Verdana" w:hAnsi="Verdana" w:cs="Arial"/>
                <w:bCs/>
              </w:rPr>
              <w:t>)</w:t>
            </w:r>
          </w:p>
        </w:tc>
        <w:tc>
          <w:tcPr>
            <w:tcW w:w="3330" w:type="dxa"/>
          </w:tcPr>
          <w:p w14:paraId="1ADCCA37" w14:textId="163D37A0" w:rsidR="0073594F" w:rsidRPr="00E8257D" w:rsidRDefault="00C22D05" w:rsidP="0073594F">
            <w:pPr>
              <w:rPr>
                <w:rFonts w:ascii="Verdana" w:hAnsi="Verdana" w:cstheme="minorHAnsi"/>
              </w:rPr>
            </w:pPr>
            <w:r w:rsidRPr="00BB7994">
              <w:rPr>
                <w:rFonts w:ascii="Verdana" w:hAnsi="Verdana"/>
                <w:bCs/>
              </w:rPr>
              <w:t xml:space="preserve">Routine prophylaxis to prevent or reduce bleeding episodes in patients aged 12 years and older with hemophilia A or B, without </w:t>
            </w:r>
            <w:r w:rsidRPr="00BB7994">
              <w:rPr>
                <w:rFonts w:ascii="Verdana" w:hAnsi="Verdana"/>
                <w:bCs/>
              </w:rPr>
              <w:lastRenderedPageBreak/>
              <w:t>inhibitors to Factor VIII or IX respectively.</w:t>
            </w:r>
          </w:p>
        </w:tc>
        <w:tc>
          <w:tcPr>
            <w:tcW w:w="3150" w:type="dxa"/>
          </w:tcPr>
          <w:p w14:paraId="3838FBD2" w14:textId="1B734E88" w:rsidR="00C22D05" w:rsidRDefault="00C22D05" w:rsidP="00C22D0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Medicare: Non-Formulary</w:t>
            </w:r>
          </w:p>
          <w:p w14:paraId="7D217416" w14:textId="7FF8DD46" w:rsidR="00C22D05" w:rsidRPr="00B727CC" w:rsidRDefault="00C22D05" w:rsidP="00C22D0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Medical Assistance:  Non-Formulary</w:t>
            </w:r>
            <w:r>
              <w:rPr>
                <w:rFonts w:ascii="Verdana" w:hAnsi="Verdana"/>
              </w:rPr>
              <w:br/>
              <w:t xml:space="preserve">Exchange: Non-Formulary </w:t>
            </w:r>
          </w:p>
          <w:p w14:paraId="34C32304" w14:textId="205CA4AD" w:rsidR="0073594F" w:rsidRPr="00B727CC" w:rsidRDefault="0073594F" w:rsidP="00F11DC6">
            <w:pPr>
              <w:pStyle w:val="NoSpacing"/>
              <w:rPr>
                <w:rFonts w:ascii="Verdana" w:hAnsi="Verdana"/>
              </w:rPr>
            </w:pPr>
          </w:p>
        </w:tc>
        <w:tc>
          <w:tcPr>
            <w:tcW w:w="1440" w:type="dxa"/>
          </w:tcPr>
          <w:p w14:paraId="5CB19907" w14:textId="16C2E00D" w:rsidR="0073594F" w:rsidRPr="00B727CC" w:rsidRDefault="005A5771" w:rsidP="0073594F">
            <w:pPr>
              <w:rPr>
                <w:rFonts w:ascii="Verdana" w:eastAsia="Times New Roman" w:hAnsi="Verdana" w:cs="Arial"/>
              </w:rPr>
            </w:pPr>
            <w:r w:rsidRPr="00B727CC">
              <w:rPr>
                <w:rFonts w:ascii="Verdana" w:eastAsia="Times New Roman" w:hAnsi="Verdana" w:cs="Arial"/>
              </w:rPr>
              <w:t>NA</w:t>
            </w:r>
          </w:p>
        </w:tc>
      </w:tr>
      <w:tr w:rsidR="0073594F" w:rsidRPr="00852F8C" w14:paraId="4EE1C15E" w14:textId="77777777" w:rsidTr="00B727CC">
        <w:tc>
          <w:tcPr>
            <w:tcW w:w="2970" w:type="dxa"/>
          </w:tcPr>
          <w:p w14:paraId="78D228E7" w14:textId="4E913EAD" w:rsidR="00330E7F" w:rsidRPr="000C6EF5" w:rsidRDefault="00C22D05" w:rsidP="0073594F">
            <w:pPr>
              <w:rPr>
                <w:rFonts w:ascii="Verdana" w:eastAsia="Times New Roman" w:hAnsi="Verdana" w:cs="Arial"/>
                <w:bCs/>
                <w:sz w:val="20"/>
                <w:szCs w:val="20"/>
              </w:rPr>
            </w:pPr>
            <w:proofErr w:type="spellStart"/>
            <w:r w:rsidRPr="000C6EF5">
              <w:rPr>
                <w:rFonts w:ascii="Verdana" w:hAnsi="Verdana" w:cs="Arial"/>
                <w:bCs/>
              </w:rPr>
              <w:t>Qfitlia</w:t>
            </w:r>
            <w:proofErr w:type="spellEnd"/>
            <w:r w:rsidRPr="000C6EF5">
              <w:rPr>
                <w:rFonts w:ascii="Verdana" w:hAnsi="Verdana" w:cs="Arial"/>
                <w:bCs/>
              </w:rPr>
              <w:t xml:space="preserve"> (</w:t>
            </w:r>
            <w:proofErr w:type="spellStart"/>
            <w:r w:rsidRPr="000C6EF5">
              <w:rPr>
                <w:rFonts w:ascii="Verdana" w:hAnsi="Verdana" w:cs="Arial"/>
                <w:bCs/>
              </w:rPr>
              <w:t>fitusiran</w:t>
            </w:r>
            <w:proofErr w:type="spellEnd"/>
            <w:r w:rsidRPr="000C6EF5">
              <w:rPr>
                <w:rFonts w:ascii="Verdana" w:hAnsi="Verdana" w:cs="Arial"/>
                <w:bCs/>
              </w:rPr>
              <w:t>)</w:t>
            </w:r>
          </w:p>
        </w:tc>
        <w:tc>
          <w:tcPr>
            <w:tcW w:w="3330" w:type="dxa"/>
          </w:tcPr>
          <w:p w14:paraId="31782812" w14:textId="699CA360" w:rsidR="0073594F" w:rsidRPr="00F6467A" w:rsidRDefault="00C22D05" w:rsidP="0073594F">
            <w:pPr>
              <w:rPr>
                <w:rFonts w:ascii="Verdana" w:hAnsi="Verdana"/>
                <w:bCs/>
              </w:rPr>
            </w:pPr>
            <w:r w:rsidRPr="00F81C14">
              <w:rPr>
                <w:rFonts w:ascii="Verdana" w:hAnsi="Verdana" w:cstheme="minorHAnsi"/>
                <w:iCs/>
              </w:rPr>
              <w:t>Routine prophylaxis to prevent or reduce bleeding episodes in patients aged 12 years and older with hemophilia A or B, both with or without inhibitors to Factor VIII or IX respectively.</w:t>
            </w:r>
          </w:p>
        </w:tc>
        <w:tc>
          <w:tcPr>
            <w:tcW w:w="3150" w:type="dxa"/>
          </w:tcPr>
          <w:p w14:paraId="36CC8DEC" w14:textId="77777777" w:rsidR="00C22D05" w:rsidRDefault="00C22D05" w:rsidP="00C22D0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Medicare: Non-Formulary</w:t>
            </w:r>
          </w:p>
          <w:p w14:paraId="606D687B" w14:textId="77777777" w:rsidR="00C22D05" w:rsidRPr="00B727CC" w:rsidRDefault="00C22D05" w:rsidP="00C22D0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Medical Assistance:  Non-Formulary</w:t>
            </w:r>
            <w:r>
              <w:rPr>
                <w:rFonts w:ascii="Verdana" w:hAnsi="Verdana"/>
              </w:rPr>
              <w:br/>
              <w:t xml:space="preserve">Exchange: Non-Formulary </w:t>
            </w:r>
          </w:p>
          <w:p w14:paraId="69A601A5" w14:textId="77777777" w:rsidR="0073594F" w:rsidRPr="00B727CC" w:rsidRDefault="0073594F" w:rsidP="00F11DC6">
            <w:pPr>
              <w:pStyle w:val="NoSpacing"/>
              <w:rPr>
                <w:rFonts w:ascii="Verdana" w:hAnsi="Verdana"/>
              </w:rPr>
            </w:pPr>
          </w:p>
        </w:tc>
        <w:tc>
          <w:tcPr>
            <w:tcW w:w="1440" w:type="dxa"/>
          </w:tcPr>
          <w:p w14:paraId="2099FF3E" w14:textId="4D1A2392" w:rsidR="0073594F" w:rsidRPr="00B727CC" w:rsidRDefault="005A5771" w:rsidP="0073594F">
            <w:pPr>
              <w:rPr>
                <w:rFonts w:ascii="Verdana" w:hAnsi="Verdana"/>
              </w:rPr>
            </w:pPr>
            <w:r w:rsidRPr="00B727CC">
              <w:rPr>
                <w:rFonts w:ascii="Verdana" w:eastAsia="Times New Roman" w:hAnsi="Verdana" w:cs="Arial"/>
              </w:rPr>
              <w:t>NA</w:t>
            </w:r>
          </w:p>
        </w:tc>
      </w:tr>
      <w:tr w:rsidR="003E5867" w:rsidRPr="00852F8C" w14:paraId="20D0C506" w14:textId="77777777" w:rsidTr="00B727CC">
        <w:tc>
          <w:tcPr>
            <w:tcW w:w="2970" w:type="dxa"/>
          </w:tcPr>
          <w:p w14:paraId="07089E0F" w14:textId="2ED6CB1A" w:rsidR="005A5771" w:rsidRPr="000C6EF5" w:rsidRDefault="00C22D05" w:rsidP="00E8257D">
            <w:pPr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0C6EF5">
              <w:rPr>
                <w:rFonts w:ascii="Verdana" w:hAnsi="Verdana" w:cs="Arial"/>
                <w:bCs/>
              </w:rPr>
              <w:t>Crenessity</w:t>
            </w:r>
            <w:proofErr w:type="spellEnd"/>
            <w:r w:rsidRPr="000C6EF5">
              <w:rPr>
                <w:rFonts w:ascii="Verdana" w:hAnsi="Verdana" w:cs="Arial"/>
                <w:bCs/>
              </w:rPr>
              <w:t xml:space="preserve"> (</w:t>
            </w:r>
            <w:proofErr w:type="spellStart"/>
            <w:r w:rsidRPr="000C6EF5">
              <w:rPr>
                <w:rFonts w:ascii="Verdana" w:hAnsi="Verdana" w:cs="Arial"/>
                <w:bCs/>
              </w:rPr>
              <w:t>crinecerfont</w:t>
            </w:r>
            <w:proofErr w:type="spellEnd"/>
            <w:r w:rsidRPr="000C6EF5">
              <w:rPr>
                <w:rFonts w:ascii="Verdana" w:hAnsi="Verdana" w:cs="Arial"/>
                <w:bCs/>
              </w:rPr>
              <w:t>)</w:t>
            </w:r>
          </w:p>
        </w:tc>
        <w:tc>
          <w:tcPr>
            <w:tcW w:w="3330" w:type="dxa"/>
          </w:tcPr>
          <w:p w14:paraId="70A454CD" w14:textId="0EC148B0" w:rsidR="003E5867" w:rsidRPr="00B01345" w:rsidRDefault="001F115A" w:rsidP="003E5867">
            <w:pPr>
              <w:rPr>
                <w:rFonts w:ascii="Verdana" w:hAnsi="Verdana" w:cstheme="minorHAnsi"/>
                <w:sz w:val="20"/>
                <w:szCs w:val="20"/>
              </w:rPr>
            </w:pPr>
            <w:r w:rsidRPr="00F81C14">
              <w:rPr>
                <w:rFonts w:ascii="Verdana" w:hAnsi="Verdana"/>
                <w:bCs/>
              </w:rPr>
              <w:t>adjunct treatment to glucocorticoid (GC) replacement in adults and pediatrics 4 years and older with classic congenital adrenal hyperplasia (CAH)</w:t>
            </w:r>
          </w:p>
        </w:tc>
        <w:tc>
          <w:tcPr>
            <w:tcW w:w="3150" w:type="dxa"/>
          </w:tcPr>
          <w:p w14:paraId="1D8D0B65" w14:textId="77777777" w:rsidR="001F115A" w:rsidRDefault="001F115A" w:rsidP="001F115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Medicare: Non-Formulary</w:t>
            </w:r>
          </w:p>
          <w:p w14:paraId="46FAD7A4" w14:textId="77777777" w:rsidR="001F115A" w:rsidRPr="00B727CC" w:rsidRDefault="001F115A" w:rsidP="001F115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Medical Assistance:  Non-Formulary</w:t>
            </w:r>
            <w:r>
              <w:rPr>
                <w:rFonts w:ascii="Verdana" w:hAnsi="Verdana"/>
              </w:rPr>
              <w:br/>
              <w:t xml:space="preserve">Exchange: Non-Formulary </w:t>
            </w:r>
          </w:p>
          <w:p w14:paraId="6B5634E1" w14:textId="0F25ADA5" w:rsidR="003E5867" w:rsidRPr="00B727CC" w:rsidRDefault="003E5867" w:rsidP="00F11DC6">
            <w:pPr>
              <w:pStyle w:val="NoSpacing"/>
              <w:rPr>
                <w:rFonts w:ascii="Verdana" w:hAnsi="Verdana"/>
              </w:rPr>
            </w:pPr>
          </w:p>
        </w:tc>
        <w:tc>
          <w:tcPr>
            <w:tcW w:w="1440" w:type="dxa"/>
          </w:tcPr>
          <w:p w14:paraId="6537980B" w14:textId="7ED37180" w:rsidR="003E5867" w:rsidRPr="00B727CC" w:rsidRDefault="005A5771" w:rsidP="003E5867">
            <w:pPr>
              <w:rPr>
                <w:rFonts w:ascii="Verdana" w:hAnsi="Verdana"/>
              </w:rPr>
            </w:pPr>
            <w:r w:rsidRPr="00B727CC">
              <w:rPr>
                <w:rFonts w:ascii="Verdana" w:eastAsia="Times New Roman" w:hAnsi="Verdana" w:cs="Arial"/>
              </w:rPr>
              <w:t>NA</w:t>
            </w:r>
          </w:p>
        </w:tc>
      </w:tr>
      <w:tr w:rsidR="005A5771" w:rsidRPr="00852F8C" w14:paraId="2F8EE3BE" w14:textId="77777777" w:rsidTr="00B727CC">
        <w:tc>
          <w:tcPr>
            <w:tcW w:w="2970" w:type="dxa"/>
          </w:tcPr>
          <w:p w14:paraId="54A24F44" w14:textId="594F5107" w:rsidR="005A5771" w:rsidRPr="000C6EF5" w:rsidRDefault="001F115A" w:rsidP="003E5867">
            <w:pPr>
              <w:rPr>
                <w:rFonts w:ascii="Verdana" w:hAnsi="Verdana" w:cs="Arial"/>
                <w:bCs/>
              </w:rPr>
            </w:pPr>
            <w:proofErr w:type="spellStart"/>
            <w:r w:rsidRPr="000C6EF5">
              <w:rPr>
                <w:rFonts w:ascii="Verdana" w:hAnsi="Verdana" w:cs="Arial"/>
                <w:bCs/>
              </w:rPr>
              <w:t>Revuforj</w:t>
            </w:r>
            <w:proofErr w:type="spellEnd"/>
            <w:r w:rsidRPr="000C6EF5">
              <w:rPr>
                <w:rFonts w:ascii="Verdana" w:hAnsi="Verdana" w:cs="Arial"/>
                <w:bCs/>
              </w:rPr>
              <w:t xml:space="preserve"> (</w:t>
            </w:r>
            <w:proofErr w:type="spellStart"/>
            <w:r w:rsidRPr="000C6EF5">
              <w:rPr>
                <w:rFonts w:ascii="Verdana" w:hAnsi="Verdana" w:cs="Arial"/>
                <w:bCs/>
              </w:rPr>
              <w:t>revumenib</w:t>
            </w:r>
            <w:proofErr w:type="spellEnd"/>
            <w:r w:rsidRPr="000C6EF5">
              <w:rPr>
                <w:rFonts w:ascii="Verdana" w:hAnsi="Verdana" w:cs="Arial"/>
                <w:bCs/>
              </w:rPr>
              <w:t xml:space="preserve">) </w:t>
            </w:r>
            <w:r w:rsidRPr="000C6EF5">
              <w:rPr>
                <w:rFonts w:ascii="Verdana" w:hAnsi="Verdana" w:cs="Arial"/>
                <w:bCs/>
                <w:color w:val="FF0000"/>
              </w:rPr>
              <w:t>Protected Class</w:t>
            </w:r>
          </w:p>
        </w:tc>
        <w:tc>
          <w:tcPr>
            <w:tcW w:w="3330" w:type="dxa"/>
          </w:tcPr>
          <w:p w14:paraId="71C7D3DE" w14:textId="2C4ACB8D" w:rsidR="005A5771" w:rsidRDefault="001F115A" w:rsidP="003E5867">
            <w:pPr>
              <w:rPr>
                <w:rFonts w:ascii="Verdana" w:hAnsi="Verdana"/>
              </w:rPr>
            </w:pPr>
            <w:r w:rsidRPr="00F81C14">
              <w:rPr>
                <w:rFonts w:ascii="Verdana" w:hAnsi="Verdana"/>
                <w:bCs/>
              </w:rPr>
              <w:t>treatment of relapsed or refractory (R/R) acute leukemia with a lysine methyltransferase 2A gene (KMT2A) translocation in patients aged ≥ 1 year</w:t>
            </w:r>
          </w:p>
        </w:tc>
        <w:tc>
          <w:tcPr>
            <w:tcW w:w="3150" w:type="dxa"/>
          </w:tcPr>
          <w:p w14:paraId="3B2867CE" w14:textId="128C02C1" w:rsidR="00C22D05" w:rsidRDefault="00C22D05" w:rsidP="00C22D0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Medicare: Formulary</w:t>
            </w:r>
            <w:r w:rsidR="001F115A">
              <w:rPr>
                <w:rFonts w:ascii="Verdana" w:hAnsi="Verdana"/>
              </w:rPr>
              <w:t xml:space="preserve"> w/PA</w:t>
            </w:r>
          </w:p>
          <w:p w14:paraId="182312BE" w14:textId="0D3F635E" w:rsidR="00C22D05" w:rsidRPr="00B727CC" w:rsidRDefault="00C22D05" w:rsidP="00C22D0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Medical Assistance: Formulary</w:t>
            </w:r>
            <w:r w:rsidR="001F115A">
              <w:rPr>
                <w:rFonts w:ascii="Verdana" w:hAnsi="Verdana"/>
              </w:rPr>
              <w:t xml:space="preserve"> w/PA</w:t>
            </w:r>
            <w:r>
              <w:rPr>
                <w:rFonts w:ascii="Verdana" w:hAnsi="Verdana"/>
              </w:rPr>
              <w:br/>
              <w:t>Exchange: Formulary</w:t>
            </w:r>
            <w:r w:rsidR="001F115A">
              <w:rPr>
                <w:rFonts w:ascii="Verdana" w:hAnsi="Verdana"/>
              </w:rPr>
              <w:t xml:space="preserve"> w/PA</w:t>
            </w:r>
          </w:p>
          <w:p w14:paraId="1A17E8A2" w14:textId="74E7C6B7" w:rsidR="005A5771" w:rsidRPr="00B727CC" w:rsidRDefault="005A5771" w:rsidP="00F11DC6">
            <w:pPr>
              <w:pStyle w:val="NoSpacing"/>
              <w:rPr>
                <w:rFonts w:ascii="Verdana" w:hAnsi="Verdana"/>
              </w:rPr>
            </w:pPr>
          </w:p>
        </w:tc>
        <w:tc>
          <w:tcPr>
            <w:tcW w:w="1440" w:type="dxa"/>
          </w:tcPr>
          <w:p w14:paraId="2244416E" w14:textId="13238005" w:rsidR="005A5771" w:rsidRPr="00B727CC" w:rsidRDefault="005A5771" w:rsidP="003E5867">
            <w:pPr>
              <w:rPr>
                <w:rFonts w:ascii="Verdana" w:eastAsia="Times New Roman" w:hAnsi="Verdana" w:cs="Arial"/>
              </w:rPr>
            </w:pPr>
            <w:r w:rsidRPr="00B727CC">
              <w:rPr>
                <w:rFonts w:ascii="Verdana" w:eastAsia="Times New Roman" w:hAnsi="Verdana" w:cs="Arial"/>
              </w:rPr>
              <w:t>NA</w:t>
            </w:r>
          </w:p>
        </w:tc>
      </w:tr>
      <w:tr w:rsidR="005A5771" w:rsidRPr="00852F8C" w14:paraId="4D100F37" w14:textId="77777777" w:rsidTr="00B727CC">
        <w:tc>
          <w:tcPr>
            <w:tcW w:w="2970" w:type="dxa"/>
          </w:tcPr>
          <w:p w14:paraId="1B0CC099" w14:textId="087C5583" w:rsidR="005A5771" w:rsidRPr="000C6EF5" w:rsidRDefault="001F115A" w:rsidP="00E8257D">
            <w:pPr>
              <w:pStyle w:val="Standard1"/>
              <w:spacing w:before="0" w:after="0"/>
              <w:rPr>
                <w:rFonts w:ascii="Verdana" w:eastAsiaTheme="minorHAnsi" w:hAnsi="Verdana" w:cs="Arial"/>
                <w:bCs/>
                <w:sz w:val="22"/>
                <w:szCs w:val="22"/>
              </w:rPr>
            </w:pPr>
            <w:proofErr w:type="spellStart"/>
            <w:r w:rsidRPr="000C6EF5">
              <w:rPr>
                <w:rFonts w:ascii="Verdana" w:hAnsi="Verdana" w:cs="Arial"/>
                <w:bCs/>
                <w:sz w:val="22"/>
                <w:szCs w:val="22"/>
              </w:rPr>
              <w:t>Tryngolza</w:t>
            </w:r>
            <w:proofErr w:type="spellEnd"/>
            <w:r w:rsidRPr="000C6EF5">
              <w:rPr>
                <w:rFonts w:ascii="Verdana" w:hAnsi="Verdana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0C6EF5">
              <w:rPr>
                <w:rFonts w:ascii="Verdana" w:hAnsi="Verdana" w:cs="Arial"/>
                <w:bCs/>
                <w:sz w:val="22"/>
                <w:szCs w:val="22"/>
              </w:rPr>
              <w:t>olezarsen</w:t>
            </w:r>
            <w:proofErr w:type="spellEnd"/>
            <w:r w:rsidRPr="000C6EF5">
              <w:rPr>
                <w:rFonts w:ascii="Verdana" w:hAnsi="Verdana" w:cs="Arial"/>
                <w:bCs/>
                <w:sz w:val="22"/>
                <w:szCs w:val="22"/>
              </w:rPr>
              <w:t>)</w:t>
            </w:r>
          </w:p>
        </w:tc>
        <w:tc>
          <w:tcPr>
            <w:tcW w:w="3330" w:type="dxa"/>
          </w:tcPr>
          <w:p w14:paraId="53456F38" w14:textId="3AE7A7D7" w:rsidR="005A5771" w:rsidRDefault="001F115A" w:rsidP="003E5867">
            <w:pPr>
              <w:rPr>
                <w:rFonts w:ascii="Verdana" w:hAnsi="Verdana"/>
              </w:rPr>
            </w:pPr>
            <w:r w:rsidRPr="00F81C14">
              <w:rPr>
                <w:rFonts w:ascii="Verdana" w:hAnsi="Verdana"/>
                <w:bCs/>
              </w:rPr>
              <w:t>An adjunct to diet to reduce triglycerides in adults with familial chylomicronemia syndrome (FCS)</w:t>
            </w:r>
          </w:p>
        </w:tc>
        <w:tc>
          <w:tcPr>
            <w:tcW w:w="3150" w:type="dxa"/>
          </w:tcPr>
          <w:p w14:paraId="48AB3202" w14:textId="77777777" w:rsidR="001F115A" w:rsidRDefault="001F115A" w:rsidP="001F115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Medicare: Non-Formulary</w:t>
            </w:r>
          </w:p>
          <w:p w14:paraId="6AAA427A" w14:textId="77777777" w:rsidR="001F115A" w:rsidRPr="00B727CC" w:rsidRDefault="001F115A" w:rsidP="001F115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Medical Assistance:  Non-Formulary</w:t>
            </w:r>
            <w:r>
              <w:rPr>
                <w:rFonts w:ascii="Verdana" w:hAnsi="Verdana"/>
              </w:rPr>
              <w:br/>
              <w:t xml:space="preserve">Exchange: Non-Formulary </w:t>
            </w:r>
          </w:p>
          <w:p w14:paraId="29C895AE" w14:textId="77777777" w:rsidR="005A5771" w:rsidRPr="00B727CC" w:rsidRDefault="005A5771" w:rsidP="00F11DC6">
            <w:pPr>
              <w:pStyle w:val="NoSpacing"/>
              <w:rPr>
                <w:rFonts w:ascii="Verdana" w:hAnsi="Verdana"/>
              </w:rPr>
            </w:pPr>
          </w:p>
        </w:tc>
        <w:tc>
          <w:tcPr>
            <w:tcW w:w="1440" w:type="dxa"/>
          </w:tcPr>
          <w:p w14:paraId="0F2301FD" w14:textId="53F2EC19" w:rsidR="005A5771" w:rsidRPr="00B727CC" w:rsidRDefault="005A5771" w:rsidP="003E5867">
            <w:pPr>
              <w:rPr>
                <w:rFonts w:ascii="Verdana" w:eastAsia="Times New Roman" w:hAnsi="Verdana" w:cs="Arial"/>
              </w:rPr>
            </w:pPr>
            <w:r w:rsidRPr="00B727CC">
              <w:rPr>
                <w:rFonts w:ascii="Verdana" w:eastAsia="Times New Roman" w:hAnsi="Verdana" w:cs="Arial"/>
              </w:rPr>
              <w:t>NA</w:t>
            </w:r>
          </w:p>
        </w:tc>
      </w:tr>
      <w:tr w:rsidR="00F11DC6" w:rsidRPr="00852F8C" w14:paraId="50E5AF6C" w14:textId="77777777" w:rsidTr="00B727CC">
        <w:tc>
          <w:tcPr>
            <w:tcW w:w="2970" w:type="dxa"/>
          </w:tcPr>
          <w:p w14:paraId="0BC64517" w14:textId="48821847" w:rsidR="00F11DC6" w:rsidRPr="000C6EF5" w:rsidRDefault="001F115A" w:rsidP="00E8257D">
            <w:pPr>
              <w:pStyle w:val="Standard1"/>
              <w:spacing w:before="0" w:after="0"/>
              <w:rPr>
                <w:rFonts w:ascii="Verdana" w:hAnsi="Verdana" w:cs="Arial"/>
                <w:bCs/>
              </w:rPr>
            </w:pPr>
            <w:proofErr w:type="spellStart"/>
            <w:r w:rsidRPr="000C6EF5">
              <w:rPr>
                <w:rFonts w:ascii="Verdana" w:hAnsi="Verdana" w:cs="Arial"/>
                <w:bCs/>
                <w:sz w:val="22"/>
                <w:szCs w:val="22"/>
              </w:rPr>
              <w:t>Vafseo</w:t>
            </w:r>
            <w:proofErr w:type="spellEnd"/>
            <w:r w:rsidRPr="000C6EF5">
              <w:rPr>
                <w:rFonts w:ascii="Verdana" w:hAnsi="Verdana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0C6EF5">
              <w:rPr>
                <w:rFonts w:ascii="Verdana" w:hAnsi="Verdana" w:cs="Arial"/>
                <w:bCs/>
                <w:sz w:val="22"/>
                <w:szCs w:val="22"/>
              </w:rPr>
              <w:t>vadadustat</w:t>
            </w:r>
            <w:proofErr w:type="spellEnd"/>
            <w:r w:rsidRPr="000C6EF5">
              <w:rPr>
                <w:rFonts w:ascii="Verdana" w:hAnsi="Verdana" w:cs="Arial"/>
                <w:bCs/>
                <w:sz w:val="22"/>
                <w:szCs w:val="22"/>
              </w:rPr>
              <w:t>)</w:t>
            </w:r>
          </w:p>
        </w:tc>
        <w:tc>
          <w:tcPr>
            <w:tcW w:w="3330" w:type="dxa"/>
          </w:tcPr>
          <w:p w14:paraId="50554C1C" w14:textId="2C57D3E8" w:rsidR="00F11DC6" w:rsidRDefault="001F115A" w:rsidP="003E5867">
            <w:pPr>
              <w:rPr>
                <w:rFonts w:ascii="Verdana" w:hAnsi="Verdana"/>
              </w:rPr>
            </w:pPr>
            <w:r w:rsidRPr="00F81C14">
              <w:rPr>
                <w:rFonts w:ascii="Verdana" w:hAnsi="Verdana"/>
                <w:bCs/>
              </w:rPr>
              <w:t>Treatment of anemia due to chronic kidney disease (CKD) in adults receiving dialysis for ≥ 3 months</w:t>
            </w:r>
          </w:p>
        </w:tc>
        <w:tc>
          <w:tcPr>
            <w:tcW w:w="3150" w:type="dxa"/>
          </w:tcPr>
          <w:p w14:paraId="54F918F5" w14:textId="77777777" w:rsidR="001F115A" w:rsidRDefault="001F115A" w:rsidP="001F115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Medicare: Non-Formulary</w:t>
            </w:r>
          </w:p>
          <w:p w14:paraId="733F63F7" w14:textId="77777777" w:rsidR="001F115A" w:rsidRPr="00B727CC" w:rsidRDefault="001F115A" w:rsidP="001F115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Medical Assistance:  Non-Formulary</w:t>
            </w:r>
            <w:r>
              <w:rPr>
                <w:rFonts w:ascii="Verdana" w:hAnsi="Verdana"/>
              </w:rPr>
              <w:br/>
              <w:t xml:space="preserve">Exchange: Non-Formulary </w:t>
            </w:r>
          </w:p>
          <w:p w14:paraId="7355B652" w14:textId="691FC034" w:rsidR="00F11DC6" w:rsidRPr="00B727CC" w:rsidRDefault="00F11DC6" w:rsidP="00F11DC6">
            <w:pPr>
              <w:pStyle w:val="NoSpacing"/>
              <w:rPr>
                <w:rFonts w:ascii="Verdana" w:hAnsi="Verdana"/>
              </w:rPr>
            </w:pPr>
          </w:p>
        </w:tc>
        <w:tc>
          <w:tcPr>
            <w:tcW w:w="1440" w:type="dxa"/>
          </w:tcPr>
          <w:p w14:paraId="3A405410" w14:textId="5449E0C6" w:rsidR="00F11DC6" w:rsidRPr="00B727CC" w:rsidRDefault="00021C33" w:rsidP="003E5867">
            <w:pPr>
              <w:rPr>
                <w:rFonts w:ascii="Verdana" w:eastAsia="Times New Roman" w:hAnsi="Verdana" w:cs="Arial"/>
              </w:rPr>
            </w:pPr>
            <w:r>
              <w:rPr>
                <w:rFonts w:ascii="Verdana" w:eastAsia="Times New Roman" w:hAnsi="Verdana" w:cs="Arial"/>
              </w:rPr>
              <w:t>NA</w:t>
            </w:r>
          </w:p>
        </w:tc>
      </w:tr>
    </w:tbl>
    <w:p w14:paraId="30725D2E" w14:textId="2E6D7891" w:rsidR="00C36463" w:rsidRPr="00852F8C" w:rsidRDefault="00C36463">
      <w:pPr>
        <w:spacing w:line="200" w:lineRule="exact"/>
        <w:rPr>
          <w:rFonts w:ascii="Verdana" w:hAnsi="Verdana"/>
          <w:sz w:val="20"/>
          <w:szCs w:val="20"/>
        </w:rPr>
      </w:pPr>
    </w:p>
    <w:p w14:paraId="38B717C3" w14:textId="77777777" w:rsidR="00C36463" w:rsidRPr="00B727CC" w:rsidRDefault="00C36463">
      <w:pPr>
        <w:spacing w:line="200" w:lineRule="exact"/>
        <w:rPr>
          <w:rFonts w:ascii="Verdana" w:hAnsi="Verdana"/>
        </w:rPr>
      </w:pPr>
    </w:p>
    <w:p w14:paraId="571B2695" w14:textId="49C3DC4C" w:rsidR="001B05E8" w:rsidRPr="00B727CC" w:rsidRDefault="000A6E31" w:rsidP="00015A48">
      <w:pPr>
        <w:spacing w:line="200" w:lineRule="exact"/>
        <w:jc w:val="both"/>
        <w:rPr>
          <w:rFonts w:ascii="Verdana" w:eastAsia="Times New Roman" w:hAnsi="Verdana" w:cs="Arial"/>
          <w:b/>
        </w:rPr>
      </w:pPr>
      <w:r w:rsidRPr="00B727CC">
        <w:rPr>
          <w:rFonts w:ascii="Verdana" w:eastAsia="Times New Roman" w:hAnsi="Verdana" w:cs="Arial"/>
          <w:b/>
        </w:rPr>
        <w:t xml:space="preserve">Formulary changes for New Generics, New Indications and Miscellaneous Previously Reviewed drugs are effective </w:t>
      </w:r>
      <w:r w:rsidR="00C22D05">
        <w:rPr>
          <w:rFonts w:ascii="Verdana" w:eastAsia="Times New Roman" w:hAnsi="Verdana" w:cs="Arial"/>
          <w:b/>
        </w:rPr>
        <w:t>10</w:t>
      </w:r>
      <w:r w:rsidR="00BE479A" w:rsidRPr="00B727CC">
        <w:rPr>
          <w:rFonts w:ascii="Verdana" w:eastAsia="Times New Roman" w:hAnsi="Verdana" w:cs="Arial"/>
          <w:b/>
        </w:rPr>
        <w:t>/1</w:t>
      </w:r>
      <w:r w:rsidRPr="00B727CC">
        <w:rPr>
          <w:rFonts w:ascii="Verdana" w:eastAsia="Times New Roman" w:hAnsi="Verdana" w:cs="Arial"/>
          <w:b/>
        </w:rPr>
        <w:t>/202</w:t>
      </w:r>
      <w:r w:rsidR="00F6467A">
        <w:rPr>
          <w:rFonts w:ascii="Verdana" w:eastAsia="Times New Roman" w:hAnsi="Verdana" w:cs="Arial"/>
          <w:b/>
        </w:rPr>
        <w:t>5</w:t>
      </w:r>
      <w:r w:rsidRPr="00B727CC">
        <w:rPr>
          <w:rFonts w:ascii="Verdana" w:eastAsia="Times New Roman" w:hAnsi="Verdana" w:cs="Arial"/>
          <w:b/>
        </w:rPr>
        <w:t>.</w:t>
      </w:r>
    </w:p>
    <w:p w14:paraId="4909B206" w14:textId="77777777" w:rsidR="001B05E8" w:rsidRPr="00852F8C" w:rsidRDefault="001B05E8" w:rsidP="006B16C1">
      <w:pPr>
        <w:rPr>
          <w:rFonts w:ascii="Verdana" w:eastAsia="Times New Roman" w:hAnsi="Verdana" w:cs="Arial"/>
          <w:b/>
          <w:sz w:val="20"/>
          <w:szCs w:val="20"/>
          <w:u w:val="single"/>
        </w:rPr>
      </w:pPr>
    </w:p>
    <w:tbl>
      <w:tblPr>
        <w:tblStyle w:val="LightList-Accent5"/>
        <w:tblW w:w="10885" w:type="dxa"/>
        <w:tblInd w:w="-95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10885"/>
      </w:tblGrid>
      <w:tr w:rsidR="00153FC2" w:rsidRPr="00852F8C" w14:paraId="2C07B094" w14:textId="77777777" w:rsidTr="00D901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5" w:type="dxa"/>
            <w:shd w:val="clear" w:color="auto" w:fill="00205B"/>
          </w:tcPr>
          <w:p w14:paraId="71E652E9" w14:textId="77777777" w:rsidR="004C5F89" w:rsidRPr="00852F8C" w:rsidRDefault="00153FC2" w:rsidP="005247AA">
            <w:pPr>
              <w:spacing w:after="240"/>
              <w:rPr>
                <w:rFonts w:ascii="Verdana" w:eastAsia="Times New Roman" w:hAnsi="Verdana" w:cs="Arial"/>
                <w:sz w:val="20"/>
                <w:szCs w:val="20"/>
              </w:rPr>
            </w:pPr>
            <w:bookmarkStart w:id="0" w:name="_Hlk98851985"/>
            <w:r w:rsidRPr="00852F8C">
              <w:rPr>
                <w:rFonts w:ascii="Verdana" w:eastAsia="Times New Roman" w:hAnsi="Verdana" w:cs="Arial"/>
                <w:sz w:val="20"/>
                <w:szCs w:val="20"/>
              </w:rPr>
              <w:t xml:space="preserve">New Indications Review </w:t>
            </w:r>
          </w:p>
        </w:tc>
      </w:tr>
    </w:tbl>
    <w:tbl>
      <w:tblPr>
        <w:tblStyle w:val="TableGrid"/>
        <w:tblW w:w="10917" w:type="dxa"/>
        <w:tblInd w:w="-95" w:type="dxa"/>
        <w:tblLook w:val="04A0" w:firstRow="1" w:lastRow="0" w:firstColumn="1" w:lastColumn="0" w:noHBand="0" w:noVBand="1"/>
      </w:tblPr>
      <w:tblGrid>
        <w:gridCol w:w="3845"/>
        <w:gridCol w:w="3408"/>
        <w:gridCol w:w="3664"/>
      </w:tblGrid>
      <w:tr w:rsidR="004F2F90" w:rsidRPr="00852F8C" w14:paraId="4B7C4753" w14:textId="77777777" w:rsidTr="001F115A">
        <w:trPr>
          <w:trHeight w:val="566"/>
        </w:trPr>
        <w:tc>
          <w:tcPr>
            <w:tcW w:w="3845" w:type="dxa"/>
          </w:tcPr>
          <w:p w14:paraId="48E65DDF" w14:textId="5B200CEC" w:rsidR="004F2F90" w:rsidRPr="00852F8C" w:rsidRDefault="004F2F90" w:rsidP="004F2F90">
            <w:pPr>
              <w:spacing w:after="240"/>
              <w:rPr>
                <w:rFonts w:ascii="Verdana" w:eastAsia="Times New Roman" w:hAnsi="Verdana" w:cs="Arial"/>
                <w:sz w:val="20"/>
                <w:szCs w:val="20"/>
              </w:rPr>
            </w:pPr>
            <w:r w:rsidRPr="00852F8C">
              <w:rPr>
                <w:rFonts w:ascii="Verdana" w:hAnsi="Verdana"/>
                <w:b/>
                <w:bCs/>
                <w:sz w:val="20"/>
                <w:szCs w:val="20"/>
              </w:rPr>
              <w:t>Drug</w:t>
            </w:r>
          </w:p>
        </w:tc>
        <w:tc>
          <w:tcPr>
            <w:tcW w:w="3408" w:type="dxa"/>
          </w:tcPr>
          <w:p w14:paraId="48AC1C2A" w14:textId="4EC1C9F5" w:rsidR="004F2F90" w:rsidRPr="00852F8C" w:rsidRDefault="004F2F90" w:rsidP="004F2F90">
            <w:pPr>
              <w:spacing w:after="240"/>
              <w:rPr>
                <w:rFonts w:ascii="Verdana" w:eastAsia="Times New Roman" w:hAnsi="Verdana" w:cs="Arial"/>
                <w:sz w:val="20"/>
                <w:szCs w:val="20"/>
              </w:rPr>
            </w:pPr>
            <w:r w:rsidRPr="00852F8C">
              <w:rPr>
                <w:rFonts w:ascii="Verdana" w:hAnsi="Verdana"/>
                <w:b/>
                <w:sz w:val="20"/>
                <w:szCs w:val="20"/>
              </w:rPr>
              <w:t>Current formulary status</w:t>
            </w:r>
          </w:p>
        </w:tc>
        <w:tc>
          <w:tcPr>
            <w:tcW w:w="3664" w:type="dxa"/>
          </w:tcPr>
          <w:p w14:paraId="0DC14B8E" w14:textId="39AC6804" w:rsidR="004F2F90" w:rsidRPr="00852F8C" w:rsidRDefault="004F2F90" w:rsidP="004F2F90">
            <w:pPr>
              <w:spacing w:after="240"/>
              <w:rPr>
                <w:rFonts w:ascii="Verdana" w:eastAsia="Times New Roman" w:hAnsi="Verdana" w:cs="Arial"/>
                <w:sz w:val="20"/>
                <w:szCs w:val="20"/>
              </w:rPr>
            </w:pPr>
            <w:r w:rsidRPr="00852F8C">
              <w:rPr>
                <w:rFonts w:ascii="Verdana" w:hAnsi="Verdana"/>
                <w:b/>
                <w:sz w:val="20"/>
                <w:szCs w:val="20"/>
              </w:rPr>
              <w:t>Recommendation</w:t>
            </w:r>
          </w:p>
        </w:tc>
      </w:tr>
      <w:bookmarkEnd w:id="0"/>
      <w:tr w:rsidR="00075402" w:rsidRPr="00852F8C" w14:paraId="1B56CDD1" w14:textId="77777777" w:rsidTr="001F115A">
        <w:tc>
          <w:tcPr>
            <w:tcW w:w="3845" w:type="dxa"/>
            <w:shd w:val="clear" w:color="auto" w:fill="auto"/>
          </w:tcPr>
          <w:p w14:paraId="0C05F2E4" w14:textId="77777777" w:rsidR="001F115A" w:rsidRPr="00946E7B" w:rsidRDefault="001F115A" w:rsidP="001F115A">
            <w:pPr>
              <w:rPr>
                <w:rFonts w:ascii="Verdana" w:hAnsi="Verdana"/>
              </w:rPr>
            </w:pPr>
            <w:r w:rsidRPr="00946E7B">
              <w:rPr>
                <w:rFonts w:ascii="Verdana" w:hAnsi="Verdana"/>
                <w:b/>
                <w:bCs/>
              </w:rPr>
              <w:t xml:space="preserve">Dupixent </w:t>
            </w:r>
            <w:r w:rsidRPr="00946E7B">
              <w:rPr>
                <w:rFonts w:ascii="Verdana" w:hAnsi="Verdana"/>
              </w:rPr>
              <w:t xml:space="preserve">(dupilumab) 200 &amp; 300 mg SQ </w:t>
            </w:r>
            <w:proofErr w:type="spellStart"/>
            <w:r w:rsidRPr="00946E7B">
              <w:rPr>
                <w:rFonts w:ascii="Verdana" w:hAnsi="Verdana"/>
              </w:rPr>
              <w:t>inj</w:t>
            </w:r>
            <w:proofErr w:type="spellEnd"/>
            <w:r w:rsidRPr="00946E7B">
              <w:rPr>
                <w:rFonts w:ascii="Verdana" w:hAnsi="Verdana"/>
              </w:rPr>
              <w:t xml:space="preserve"> for chronic spontaneous urticaria</w:t>
            </w:r>
          </w:p>
          <w:p w14:paraId="79C91297" w14:textId="55704F0B" w:rsidR="00075402" w:rsidRPr="00021C33" w:rsidRDefault="00075402" w:rsidP="00075402">
            <w:pPr>
              <w:rPr>
                <w:rFonts w:ascii="Verdana" w:hAnsi="Verdana"/>
              </w:rPr>
            </w:pPr>
          </w:p>
        </w:tc>
        <w:tc>
          <w:tcPr>
            <w:tcW w:w="3408" w:type="dxa"/>
            <w:shd w:val="clear" w:color="auto" w:fill="auto"/>
          </w:tcPr>
          <w:p w14:paraId="5F020BAF" w14:textId="0E29543D" w:rsidR="001F115A" w:rsidRPr="00946E7B" w:rsidRDefault="001F115A" w:rsidP="001F115A">
            <w:pPr>
              <w:rPr>
                <w:rFonts w:ascii="Verdana" w:hAnsi="Verdana"/>
              </w:rPr>
            </w:pPr>
            <w:r w:rsidRPr="00946E7B">
              <w:rPr>
                <w:rFonts w:ascii="Verdana" w:hAnsi="Verdana"/>
                <w:lang w:val="it-IT"/>
              </w:rPr>
              <w:t>F: Med</w:t>
            </w:r>
            <w:r w:rsidR="000C6EF5">
              <w:rPr>
                <w:rFonts w:ascii="Verdana" w:hAnsi="Verdana"/>
                <w:lang w:val="it-IT"/>
              </w:rPr>
              <w:t>icare</w:t>
            </w:r>
            <w:r w:rsidRPr="00946E7B">
              <w:rPr>
                <w:rFonts w:ascii="Verdana" w:hAnsi="Verdana"/>
                <w:lang w:val="it-IT"/>
              </w:rPr>
              <w:t>, PPO, IFP</w:t>
            </w:r>
          </w:p>
          <w:p w14:paraId="6C8724C5" w14:textId="77777777" w:rsidR="001F115A" w:rsidRPr="00946E7B" w:rsidRDefault="001F115A" w:rsidP="001F115A">
            <w:pPr>
              <w:rPr>
                <w:rFonts w:ascii="Verdana" w:hAnsi="Verdana"/>
              </w:rPr>
            </w:pPr>
            <w:r w:rsidRPr="00946E7B">
              <w:rPr>
                <w:rFonts w:ascii="Verdana" w:hAnsi="Verdana"/>
                <w:lang w:val="it-IT"/>
              </w:rPr>
              <w:t>MA - PDL</w:t>
            </w:r>
          </w:p>
          <w:p w14:paraId="31DB2A16" w14:textId="1E15B213" w:rsidR="00075402" w:rsidRPr="00AF03AD" w:rsidRDefault="00075402" w:rsidP="00075402">
            <w:pPr>
              <w:rPr>
                <w:rFonts w:ascii="Verdana" w:eastAsia="Times New Roman" w:hAnsi="Verdana" w:cs="Arial"/>
              </w:rPr>
            </w:pPr>
          </w:p>
        </w:tc>
        <w:tc>
          <w:tcPr>
            <w:tcW w:w="3664" w:type="dxa"/>
            <w:shd w:val="clear" w:color="auto" w:fill="auto"/>
          </w:tcPr>
          <w:p w14:paraId="687708E5" w14:textId="6C33D19C" w:rsidR="00075402" w:rsidRPr="00AF03AD" w:rsidRDefault="00075402" w:rsidP="00075402">
            <w:pPr>
              <w:rPr>
                <w:rFonts w:ascii="Verdana" w:hAnsi="Verdana"/>
              </w:rPr>
            </w:pPr>
            <w:r w:rsidRPr="00AF03AD">
              <w:rPr>
                <w:rFonts w:ascii="Verdana" w:hAnsi="Verdana"/>
              </w:rPr>
              <w:t>No change</w:t>
            </w:r>
          </w:p>
          <w:p w14:paraId="3FEA51F4" w14:textId="3503BEF9" w:rsidR="00075402" w:rsidRPr="00AF03AD" w:rsidRDefault="00075402" w:rsidP="00075402">
            <w:pPr>
              <w:rPr>
                <w:rFonts w:ascii="Verdana" w:eastAsia="Times New Roman" w:hAnsi="Verdana" w:cs="Arial"/>
              </w:rPr>
            </w:pPr>
          </w:p>
        </w:tc>
      </w:tr>
      <w:tr w:rsidR="00075402" w:rsidRPr="00852F8C" w14:paraId="40C03084" w14:textId="77777777" w:rsidTr="001F115A">
        <w:trPr>
          <w:trHeight w:val="503"/>
        </w:trPr>
        <w:tc>
          <w:tcPr>
            <w:tcW w:w="3845" w:type="dxa"/>
            <w:shd w:val="clear" w:color="auto" w:fill="auto"/>
          </w:tcPr>
          <w:p w14:paraId="6C228C09" w14:textId="15D57320" w:rsidR="00075402" w:rsidRPr="0000785E" w:rsidRDefault="001F115A" w:rsidP="00746B73">
            <w:pPr>
              <w:rPr>
                <w:rFonts w:ascii="Verdana" w:hAnsi="Verdana"/>
              </w:rPr>
            </w:pPr>
            <w:r w:rsidRPr="00946E7B">
              <w:rPr>
                <w:rFonts w:ascii="Verdana" w:hAnsi="Verdana"/>
                <w:b/>
                <w:bCs/>
              </w:rPr>
              <w:lastRenderedPageBreak/>
              <w:t>Nucala</w:t>
            </w:r>
            <w:r w:rsidRPr="00946E7B">
              <w:rPr>
                <w:rFonts w:ascii="Verdana" w:hAnsi="Verdana"/>
              </w:rPr>
              <w:t xml:space="preserve"> (mepolizumab) 100 mg SQ </w:t>
            </w:r>
            <w:proofErr w:type="spellStart"/>
            <w:r w:rsidRPr="00946E7B">
              <w:rPr>
                <w:rFonts w:ascii="Verdana" w:hAnsi="Verdana"/>
              </w:rPr>
              <w:t>inj</w:t>
            </w:r>
            <w:proofErr w:type="spellEnd"/>
            <w:r w:rsidRPr="00946E7B">
              <w:rPr>
                <w:rFonts w:ascii="Verdana" w:hAnsi="Verdana"/>
              </w:rPr>
              <w:t xml:space="preserve"> for COPD with an eosinophilic phenotype</w:t>
            </w:r>
          </w:p>
        </w:tc>
        <w:tc>
          <w:tcPr>
            <w:tcW w:w="3408" w:type="dxa"/>
            <w:shd w:val="clear" w:color="auto" w:fill="auto"/>
          </w:tcPr>
          <w:p w14:paraId="691228E9" w14:textId="1EDB37CD" w:rsidR="001F115A" w:rsidRPr="00946E7B" w:rsidRDefault="001F115A" w:rsidP="001F115A">
            <w:pPr>
              <w:rPr>
                <w:rFonts w:ascii="Verdana" w:hAnsi="Verdana"/>
              </w:rPr>
            </w:pPr>
            <w:r w:rsidRPr="00946E7B">
              <w:rPr>
                <w:rFonts w:ascii="Verdana" w:hAnsi="Verdana"/>
              </w:rPr>
              <w:t>NF: Med</w:t>
            </w:r>
            <w:r w:rsidR="000C6EF5">
              <w:rPr>
                <w:rFonts w:ascii="Verdana" w:hAnsi="Verdana"/>
              </w:rPr>
              <w:t>icare</w:t>
            </w:r>
            <w:r w:rsidRPr="00946E7B">
              <w:rPr>
                <w:rFonts w:ascii="Verdana" w:hAnsi="Verdana"/>
              </w:rPr>
              <w:t>, PPO</w:t>
            </w:r>
          </w:p>
          <w:p w14:paraId="78B86043" w14:textId="77777777" w:rsidR="001F115A" w:rsidRPr="00946E7B" w:rsidRDefault="001F115A" w:rsidP="001F115A">
            <w:pPr>
              <w:rPr>
                <w:rFonts w:ascii="Verdana" w:hAnsi="Verdana"/>
              </w:rPr>
            </w:pPr>
            <w:r w:rsidRPr="00946E7B">
              <w:rPr>
                <w:rFonts w:ascii="Verdana" w:hAnsi="Verdana"/>
              </w:rPr>
              <w:t>F: IFP</w:t>
            </w:r>
          </w:p>
          <w:p w14:paraId="5451E093" w14:textId="77777777" w:rsidR="001F115A" w:rsidRPr="00946E7B" w:rsidRDefault="001F115A" w:rsidP="001F115A">
            <w:pPr>
              <w:rPr>
                <w:rFonts w:ascii="Verdana" w:hAnsi="Verdana"/>
              </w:rPr>
            </w:pPr>
            <w:r w:rsidRPr="00946E7B">
              <w:rPr>
                <w:rFonts w:ascii="Verdana" w:hAnsi="Verdana"/>
              </w:rPr>
              <w:t>MA - NP</w:t>
            </w:r>
          </w:p>
          <w:p w14:paraId="04632F8E" w14:textId="50954AD0" w:rsidR="00075402" w:rsidRPr="00AF03AD" w:rsidRDefault="00075402" w:rsidP="00746B73">
            <w:pPr>
              <w:rPr>
                <w:rFonts w:ascii="Verdana" w:hAnsi="Verdana"/>
              </w:rPr>
            </w:pPr>
          </w:p>
        </w:tc>
        <w:tc>
          <w:tcPr>
            <w:tcW w:w="3664" w:type="dxa"/>
            <w:shd w:val="clear" w:color="auto" w:fill="auto"/>
          </w:tcPr>
          <w:p w14:paraId="20746239" w14:textId="77777777" w:rsidR="00746B73" w:rsidRPr="00AF03AD" w:rsidRDefault="00746B73" w:rsidP="00746B73">
            <w:pPr>
              <w:rPr>
                <w:rFonts w:ascii="Verdana" w:hAnsi="Verdana"/>
              </w:rPr>
            </w:pPr>
            <w:r w:rsidRPr="00AF03AD">
              <w:rPr>
                <w:rFonts w:ascii="Verdana" w:hAnsi="Verdana"/>
              </w:rPr>
              <w:t>No change</w:t>
            </w:r>
          </w:p>
          <w:p w14:paraId="6C241ED8" w14:textId="19003A50" w:rsidR="00075402" w:rsidRPr="00AF03AD" w:rsidRDefault="00075402" w:rsidP="00746B73">
            <w:pPr>
              <w:rPr>
                <w:rFonts w:ascii="Verdana" w:hAnsi="Verdana"/>
              </w:rPr>
            </w:pPr>
          </w:p>
        </w:tc>
      </w:tr>
      <w:tr w:rsidR="00075402" w:rsidRPr="00852F8C" w14:paraId="7403E543" w14:textId="77777777" w:rsidTr="001F115A">
        <w:tc>
          <w:tcPr>
            <w:tcW w:w="3845" w:type="dxa"/>
            <w:shd w:val="clear" w:color="auto" w:fill="auto"/>
          </w:tcPr>
          <w:p w14:paraId="28120F19" w14:textId="30BA04C3" w:rsidR="00075402" w:rsidRPr="0000785E" w:rsidRDefault="001F115A" w:rsidP="00F6467A">
            <w:pPr>
              <w:rPr>
                <w:rFonts w:ascii="Verdana" w:hAnsi="Verdana"/>
              </w:rPr>
            </w:pPr>
            <w:r w:rsidRPr="00946E7B">
              <w:rPr>
                <w:rFonts w:ascii="Verdana" w:hAnsi="Verdana"/>
                <w:b/>
                <w:bCs/>
              </w:rPr>
              <w:t>Jivi</w:t>
            </w:r>
            <w:r w:rsidRPr="00946E7B">
              <w:rPr>
                <w:rFonts w:ascii="Verdana" w:hAnsi="Verdana"/>
              </w:rPr>
              <w:t xml:space="preserve"> (recombinant antihemophilic factor, pegylated-</w:t>
            </w:r>
            <w:proofErr w:type="spellStart"/>
            <w:r w:rsidRPr="00946E7B">
              <w:rPr>
                <w:rFonts w:ascii="Verdana" w:hAnsi="Verdana"/>
              </w:rPr>
              <w:t>aucl</w:t>
            </w:r>
            <w:proofErr w:type="spellEnd"/>
            <w:r w:rsidRPr="00946E7B">
              <w:rPr>
                <w:rFonts w:ascii="Verdana" w:hAnsi="Verdana"/>
              </w:rPr>
              <w:t>) for hemophilia A in pediatric patients = 7 years age expansion</w:t>
            </w:r>
          </w:p>
        </w:tc>
        <w:tc>
          <w:tcPr>
            <w:tcW w:w="3408" w:type="dxa"/>
            <w:shd w:val="clear" w:color="auto" w:fill="auto"/>
          </w:tcPr>
          <w:p w14:paraId="757F8BA9" w14:textId="35313021" w:rsidR="001F115A" w:rsidRPr="00946E7B" w:rsidRDefault="001F115A" w:rsidP="001F115A">
            <w:pPr>
              <w:rPr>
                <w:rFonts w:ascii="Verdana" w:hAnsi="Verdana"/>
              </w:rPr>
            </w:pPr>
            <w:r w:rsidRPr="00946E7B">
              <w:rPr>
                <w:rFonts w:ascii="Verdana" w:hAnsi="Verdana"/>
              </w:rPr>
              <w:t>NF: Med</w:t>
            </w:r>
            <w:r w:rsidR="000C6EF5">
              <w:rPr>
                <w:rFonts w:ascii="Verdana" w:hAnsi="Verdana"/>
              </w:rPr>
              <w:t>icare</w:t>
            </w:r>
            <w:r w:rsidRPr="00946E7B">
              <w:rPr>
                <w:rFonts w:ascii="Verdana" w:hAnsi="Verdana"/>
              </w:rPr>
              <w:t>, PPO</w:t>
            </w:r>
          </w:p>
          <w:p w14:paraId="391DC44A" w14:textId="77777777" w:rsidR="001F115A" w:rsidRPr="00946E7B" w:rsidRDefault="001F115A" w:rsidP="001F115A">
            <w:pPr>
              <w:rPr>
                <w:rFonts w:ascii="Verdana" w:hAnsi="Verdana"/>
              </w:rPr>
            </w:pPr>
            <w:r w:rsidRPr="00946E7B">
              <w:rPr>
                <w:rFonts w:ascii="Verdana" w:hAnsi="Verdana"/>
              </w:rPr>
              <w:t>F: IFP, MA</w:t>
            </w:r>
          </w:p>
          <w:p w14:paraId="57D9EF13" w14:textId="77A907C7" w:rsidR="00075402" w:rsidRPr="00AF03AD" w:rsidRDefault="00075402" w:rsidP="00746B73">
            <w:pPr>
              <w:rPr>
                <w:rFonts w:ascii="Verdana" w:hAnsi="Verdana"/>
              </w:rPr>
            </w:pPr>
          </w:p>
        </w:tc>
        <w:tc>
          <w:tcPr>
            <w:tcW w:w="3664" w:type="dxa"/>
            <w:shd w:val="clear" w:color="auto" w:fill="auto"/>
          </w:tcPr>
          <w:p w14:paraId="2BE8DBC8" w14:textId="77777777" w:rsidR="00746B73" w:rsidRPr="00AF03AD" w:rsidRDefault="00746B73" w:rsidP="00746B73">
            <w:pPr>
              <w:rPr>
                <w:rFonts w:ascii="Verdana" w:hAnsi="Verdana"/>
              </w:rPr>
            </w:pPr>
            <w:r w:rsidRPr="00AF03AD">
              <w:rPr>
                <w:rFonts w:ascii="Verdana" w:hAnsi="Verdana"/>
              </w:rPr>
              <w:t>No change</w:t>
            </w:r>
          </w:p>
          <w:p w14:paraId="5EB58032" w14:textId="1F03B6C9" w:rsidR="00075402" w:rsidRPr="00AF03AD" w:rsidRDefault="00075402" w:rsidP="00746B73">
            <w:pPr>
              <w:rPr>
                <w:rFonts w:ascii="Verdana" w:eastAsia="Times New Roman" w:hAnsi="Verdana" w:cs="Arial"/>
              </w:rPr>
            </w:pPr>
          </w:p>
        </w:tc>
      </w:tr>
      <w:tr w:rsidR="00075402" w:rsidRPr="00852F8C" w14:paraId="7F7B60B7" w14:textId="77777777" w:rsidTr="001F115A">
        <w:tc>
          <w:tcPr>
            <w:tcW w:w="3845" w:type="dxa"/>
            <w:shd w:val="clear" w:color="auto" w:fill="auto"/>
          </w:tcPr>
          <w:p w14:paraId="547F3925" w14:textId="22002736" w:rsidR="00075402" w:rsidRPr="0000785E" w:rsidRDefault="001F115A" w:rsidP="00F6467A">
            <w:pPr>
              <w:pStyle w:val="Default"/>
              <w:rPr>
                <w:rFonts w:ascii="Verdana" w:hAnsi="Verdana" w:cstheme="minorBidi"/>
                <w:color w:val="auto"/>
                <w:sz w:val="22"/>
                <w:szCs w:val="22"/>
                <w14:ligatures w14:val="none"/>
              </w:rPr>
            </w:pPr>
            <w:proofErr w:type="spellStart"/>
            <w:r w:rsidRPr="00946E7B">
              <w:rPr>
                <w:rFonts w:ascii="Verdana" w:hAnsi="Verdana"/>
                <w:b/>
                <w:bCs/>
                <w:sz w:val="22"/>
                <w:szCs w:val="22"/>
              </w:rPr>
              <w:t>Zynyz</w:t>
            </w:r>
            <w:proofErr w:type="spellEnd"/>
            <w:r w:rsidRPr="00946E7B">
              <w:rPr>
                <w:rFonts w:ascii="Verdana" w:hAnsi="Verdana"/>
                <w:sz w:val="22"/>
                <w:szCs w:val="22"/>
              </w:rPr>
              <w:t xml:space="preserve"> (</w:t>
            </w:r>
            <w:proofErr w:type="spellStart"/>
            <w:r w:rsidRPr="00946E7B">
              <w:rPr>
                <w:rFonts w:ascii="Verdana" w:hAnsi="Verdana"/>
                <w:sz w:val="22"/>
                <w:szCs w:val="22"/>
              </w:rPr>
              <w:t>retifanlimab</w:t>
            </w:r>
            <w:proofErr w:type="spellEnd"/>
            <w:r w:rsidRPr="00946E7B">
              <w:rPr>
                <w:rFonts w:ascii="Verdana" w:hAnsi="Verdana"/>
                <w:sz w:val="22"/>
                <w:szCs w:val="22"/>
              </w:rPr>
              <w:t>) 25 mg/mL IV vials for squamous cell carcinoma of the anal canal</w:t>
            </w:r>
          </w:p>
        </w:tc>
        <w:tc>
          <w:tcPr>
            <w:tcW w:w="3408" w:type="dxa"/>
            <w:shd w:val="clear" w:color="auto" w:fill="auto"/>
          </w:tcPr>
          <w:p w14:paraId="2FC01962" w14:textId="41D84542" w:rsidR="00075402" w:rsidRPr="00AF03AD" w:rsidRDefault="001F115A" w:rsidP="00746B73">
            <w:pPr>
              <w:rPr>
                <w:rFonts w:ascii="Verdana" w:eastAsia="Times New Roman" w:hAnsi="Verdana" w:cs="Arial"/>
              </w:rPr>
            </w:pPr>
            <w:r>
              <w:rPr>
                <w:rFonts w:ascii="Verdana" w:hAnsi="Verdana"/>
              </w:rPr>
              <w:t>NF: All lines of business</w:t>
            </w:r>
          </w:p>
        </w:tc>
        <w:tc>
          <w:tcPr>
            <w:tcW w:w="3664" w:type="dxa"/>
            <w:shd w:val="clear" w:color="auto" w:fill="auto"/>
          </w:tcPr>
          <w:p w14:paraId="1F444E8A" w14:textId="77777777" w:rsidR="00746B73" w:rsidRPr="00AF03AD" w:rsidRDefault="00746B73" w:rsidP="00746B73">
            <w:pPr>
              <w:rPr>
                <w:rFonts w:ascii="Verdana" w:hAnsi="Verdana"/>
              </w:rPr>
            </w:pPr>
            <w:r w:rsidRPr="00AF03AD">
              <w:rPr>
                <w:rFonts w:ascii="Verdana" w:hAnsi="Verdana"/>
              </w:rPr>
              <w:t>No change</w:t>
            </w:r>
          </w:p>
          <w:p w14:paraId="779A8F60" w14:textId="06EB5F60" w:rsidR="00075402" w:rsidRPr="00AF03AD" w:rsidRDefault="00075402" w:rsidP="00746B73">
            <w:pPr>
              <w:rPr>
                <w:rFonts w:ascii="Verdana" w:eastAsia="Times New Roman" w:hAnsi="Verdana" w:cs="Arial"/>
              </w:rPr>
            </w:pPr>
          </w:p>
        </w:tc>
      </w:tr>
      <w:tr w:rsidR="00075402" w:rsidRPr="00852F8C" w14:paraId="72856C60" w14:textId="77777777" w:rsidTr="001F115A">
        <w:tc>
          <w:tcPr>
            <w:tcW w:w="3845" w:type="dxa"/>
            <w:shd w:val="clear" w:color="auto" w:fill="auto"/>
          </w:tcPr>
          <w:p w14:paraId="38BEAD85" w14:textId="04C82C49" w:rsidR="00075402" w:rsidRPr="0000785E" w:rsidRDefault="001F115A" w:rsidP="00F6467A">
            <w:pPr>
              <w:pStyle w:val="Default"/>
              <w:rPr>
                <w:rFonts w:ascii="Verdana" w:hAnsi="Verdana" w:cstheme="minorBidi"/>
                <w:color w:val="auto"/>
                <w:sz w:val="22"/>
                <w:szCs w:val="22"/>
                <w14:ligatures w14:val="none"/>
              </w:rPr>
            </w:pPr>
            <w:proofErr w:type="spellStart"/>
            <w:r w:rsidRPr="00946E7B">
              <w:rPr>
                <w:rFonts w:ascii="Verdana" w:hAnsi="Verdana"/>
                <w:b/>
                <w:bCs/>
                <w:sz w:val="22"/>
                <w:szCs w:val="22"/>
              </w:rPr>
              <w:t>Susvimo</w:t>
            </w:r>
            <w:proofErr w:type="spellEnd"/>
            <w:r w:rsidRPr="00946E7B">
              <w:rPr>
                <w:rFonts w:ascii="Verdana" w:hAnsi="Verdana"/>
                <w:sz w:val="22"/>
                <w:szCs w:val="22"/>
              </w:rPr>
              <w:t xml:space="preserve"> (ranibizumab) 100 mg/mL vials for diabetic retinopathy</w:t>
            </w:r>
          </w:p>
        </w:tc>
        <w:tc>
          <w:tcPr>
            <w:tcW w:w="3408" w:type="dxa"/>
            <w:shd w:val="clear" w:color="auto" w:fill="auto"/>
          </w:tcPr>
          <w:p w14:paraId="0613AA00" w14:textId="58D13A23" w:rsidR="00075402" w:rsidRPr="00AF03AD" w:rsidRDefault="001F115A" w:rsidP="00746B7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NF: All lines of business</w:t>
            </w:r>
          </w:p>
        </w:tc>
        <w:tc>
          <w:tcPr>
            <w:tcW w:w="3664" w:type="dxa"/>
            <w:shd w:val="clear" w:color="auto" w:fill="auto"/>
          </w:tcPr>
          <w:p w14:paraId="1A85D788" w14:textId="77777777" w:rsidR="00746B73" w:rsidRPr="00AF03AD" w:rsidRDefault="00746B73" w:rsidP="00746B73">
            <w:pPr>
              <w:rPr>
                <w:rFonts w:ascii="Verdana" w:hAnsi="Verdana"/>
              </w:rPr>
            </w:pPr>
            <w:r w:rsidRPr="00AF03AD">
              <w:rPr>
                <w:rFonts w:ascii="Verdana" w:hAnsi="Verdana"/>
              </w:rPr>
              <w:t>No change</w:t>
            </w:r>
          </w:p>
          <w:p w14:paraId="1BAA3641" w14:textId="62ECB6A1" w:rsidR="00746B73" w:rsidRPr="00AF03AD" w:rsidRDefault="00746B73" w:rsidP="00746B73">
            <w:pPr>
              <w:rPr>
                <w:rFonts w:ascii="Verdana" w:hAnsi="Verdana"/>
              </w:rPr>
            </w:pPr>
          </w:p>
          <w:p w14:paraId="3B6D7DF1" w14:textId="77777777" w:rsidR="00075402" w:rsidRPr="00AF03AD" w:rsidRDefault="00075402" w:rsidP="00746B73">
            <w:pPr>
              <w:rPr>
                <w:rFonts w:ascii="Verdana" w:hAnsi="Verdana"/>
              </w:rPr>
            </w:pPr>
          </w:p>
        </w:tc>
      </w:tr>
      <w:tr w:rsidR="00166739" w:rsidRPr="00852F8C" w14:paraId="6AFA6694" w14:textId="77777777" w:rsidTr="001F115A">
        <w:tc>
          <w:tcPr>
            <w:tcW w:w="3845" w:type="dxa"/>
            <w:shd w:val="clear" w:color="auto" w:fill="auto"/>
          </w:tcPr>
          <w:p w14:paraId="1A56E124" w14:textId="715926E4" w:rsidR="00166739" w:rsidRPr="0000785E" w:rsidRDefault="001F115A" w:rsidP="00F6467A">
            <w:pPr>
              <w:rPr>
                <w:rFonts w:ascii="Verdana" w:hAnsi="Verdana"/>
              </w:rPr>
            </w:pPr>
            <w:proofErr w:type="spellStart"/>
            <w:r w:rsidRPr="00946E7B">
              <w:rPr>
                <w:rFonts w:ascii="Verdana" w:hAnsi="Verdana"/>
                <w:b/>
                <w:bCs/>
              </w:rPr>
              <w:t>Welireg</w:t>
            </w:r>
            <w:proofErr w:type="spellEnd"/>
            <w:r w:rsidRPr="00946E7B">
              <w:rPr>
                <w:rFonts w:ascii="Verdana" w:hAnsi="Verdana"/>
              </w:rPr>
              <w:t xml:space="preserve"> (</w:t>
            </w:r>
            <w:proofErr w:type="spellStart"/>
            <w:r w:rsidRPr="00946E7B">
              <w:rPr>
                <w:rFonts w:ascii="Verdana" w:hAnsi="Verdana"/>
              </w:rPr>
              <w:t>belzutifan</w:t>
            </w:r>
            <w:proofErr w:type="spellEnd"/>
            <w:r w:rsidRPr="00946E7B">
              <w:rPr>
                <w:rFonts w:ascii="Verdana" w:hAnsi="Verdana"/>
              </w:rPr>
              <w:t>) 40 mg tablets for pheochromocytoma or paraganglioma</w:t>
            </w:r>
          </w:p>
        </w:tc>
        <w:tc>
          <w:tcPr>
            <w:tcW w:w="3408" w:type="dxa"/>
            <w:shd w:val="clear" w:color="auto" w:fill="auto"/>
          </w:tcPr>
          <w:p w14:paraId="1207E7EA" w14:textId="4FE3696E" w:rsidR="00166739" w:rsidRPr="007E4E57" w:rsidRDefault="001F115A" w:rsidP="00746B73">
            <w:pPr>
              <w:rPr>
                <w:rFonts w:ascii="Verdana" w:hAnsi="Verdana"/>
                <w:highlight w:val="yellow"/>
              </w:rPr>
            </w:pPr>
            <w:r>
              <w:rPr>
                <w:rFonts w:ascii="Verdana" w:hAnsi="Verdana"/>
              </w:rPr>
              <w:t>F: All lines of business</w:t>
            </w:r>
          </w:p>
        </w:tc>
        <w:tc>
          <w:tcPr>
            <w:tcW w:w="3664" w:type="dxa"/>
            <w:shd w:val="clear" w:color="auto" w:fill="auto"/>
          </w:tcPr>
          <w:p w14:paraId="6BF017C7" w14:textId="77777777" w:rsidR="00746B73" w:rsidRPr="00AF03AD" w:rsidRDefault="00746B73" w:rsidP="00746B73">
            <w:pPr>
              <w:rPr>
                <w:rFonts w:ascii="Verdana" w:hAnsi="Verdana"/>
              </w:rPr>
            </w:pPr>
            <w:r w:rsidRPr="00AF03AD">
              <w:rPr>
                <w:rFonts w:ascii="Verdana" w:hAnsi="Verdana"/>
              </w:rPr>
              <w:t>No change</w:t>
            </w:r>
          </w:p>
          <w:p w14:paraId="5458BA92" w14:textId="77777777" w:rsidR="00166739" w:rsidRPr="00AF03AD" w:rsidRDefault="00166739" w:rsidP="00746B73">
            <w:pPr>
              <w:rPr>
                <w:rFonts w:ascii="Verdana" w:hAnsi="Verdana"/>
              </w:rPr>
            </w:pPr>
          </w:p>
        </w:tc>
      </w:tr>
      <w:tr w:rsidR="00166739" w:rsidRPr="00852F8C" w14:paraId="17CA87CD" w14:textId="77777777" w:rsidTr="001F115A">
        <w:tc>
          <w:tcPr>
            <w:tcW w:w="3845" w:type="dxa"/>
            <w:shd w:val="clear" w:color="auto" w:fill="auto"/>
          </w:tcPr>
          <w:p w14:paraId="69CC1936" w14:textId="5FE93D64" w:rsidR="00166739" w:rsidRPr="0000785E" w:rsidRDefault="001F115A" w:rsidP="00F6467A">
            <w:pPr>
              <w:pStyle w:val="Default"/>
              <w:rPr>
                <w:rFonts w:ascii="Verdana" w:hAnsi="Verdana" w:cstheme="minorBidi"/>
                <w:color w:val="auto"/>
                <w:sz w:val="22"/>
                <w:szCs w:val="22"/>
                <w14:ligatures w14:val="none"/>
              </w:rPr>
            </w:pPr>
            <w:proofErr w:type="spellStart"/>
            <w:r w:rsidRPr="00946E7B">
              <w:rPr>
                <w:rFonts w:ascii="Verdana" w:hAnsi="Verdana"/>
                <w:b/>
                <w:bCs/>
                <w:sz w:val="22"/>
                <w:szCs w:val="22"/>
              </w:rPr>
              <w:t>Nubeqa</w:t>
            </w:r>
            <w:proofErr w:type="spellEnd"/>
            <w:r w:rsidRPr="00946E7B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  <w:r w:rsidRPr="00946E7B">
              <w:rPr>
                <w:rFonts w:ascii="Verdana" w:hAnsi="Verdana"/>
                <w:sz w:val="22"/>
                <w:szCs w:val="22"/>
              </w:rPr>
              <w:t>(</w:t>
            </w:r>
            <w:proofErr w:type="spellStart"/>
            <w:r w:rsidRPr="00946E7B">
              <w:rPr>
                <w:rFonts w:ascii="Verdana" w:hAnsi="Verdana"/>
                <w:sz w:val="22"/>
                <w:szCs w:val="22"/>
              </w:rPr>
              <w:t>darolutamide</w:t>
            </w:r>
            <w:proofErr w:type="spellEnd"/>
            <w:r w:rsidRPr="00946E7B">
              <w:rPr>
                <w:rFonts w:ascii="Verdana" w:hAnsi="Verdana"/>
                <w:sz w:val="22"/>
                <w:szCs w:val="22"/>
              </w:rPr>
              <w:t>) 300 mg tablets approved as a single agent for metastatic castration sensitive prostate cancer</w:t>
            </w:r>
          </w:p>
        </w:tc>
        <w:tc>
          <w:tcPr>
            <w:tcW w:w="3408" w:type="dxa"/>
            <w:shd w:val="clear" w:color="auto" w:fill="auto"/>
          </w:tcPr>
          <w:p w14:paraId="7DF34CBB" w14:textId="77777777" w:rsidR="001F115A" w:rsidRPr="00946E7B" w:rsidRDefault="001F115A" w:rsidP="001F115A">
            <w:pPr>
              <w:rPr>
                <w:rFonts w:ascii="Verdana" w:hAnsi="Verdana"/>
              </w:rPr>
            </w:pPr>
            <w:r w:rsidRPr="00946E7B">
              <w:rPr>
                <w:rFonts w:ascii="Verdana" w:hAnsi="Verdana"/>
              </w:rPr>
              <w:t>F: all lines of business</w:t>
            </w:r>
          </w:p>
          <w:p w14:paraId="55F02075" w14:textId="77777777" w:rsidR="00166739" w:rsidRPr="00AF03AD" w:rsidRDefault="00166739" w:rsidP="00746B73">
            <w:pPr>
              <w:rPr>
                <w:rFonts w:ascii="Verdana" w:hAnsi="Verdana"/>
              </w:rPr>
            </w:pPr>
          </w:p>
        </w:tc>
        <w:tc>
          <w:tcPr>
            <w:tcW w:w="3664" w:type="dxa"/>
            <w:shd w:val="clear" w:color="auto" w:fill="auto"/>
          </w:tcPr>
          <w:p w14:paraId="74CD2806" w14:textId="77777777" w:rsidR="00746B73" w:rsidRPr="00AF03AD" w:rsidRDefault="00746B73" w:rsidP="00746B73">
            <w:pPr>
              <w:rPr>
                <w:rFonts w:ascii="Verdana" w:hAnsi="Verdana"/>
              </w:rPr>
            </w:pPr>
            <w:r w:rsidRPr="00AF03AD">
              <w:rPr>
                <w:rFonts w:ascii="Verdana" w:hAnsi="Verdana"/>
              </w:rPr>
              <w:t>No change</w:t>
            </w:r>
          </w:p>
          <w:p w14:paraId="7819FB4C" w14:textId="77777777" w:rsidR="00166739" w:rsidRPr="00AF03AD" w:rsidRDefault="00166739" w:rsidP="00746B73">
            <w:pPr>
              <w:rPr>
                <w:rFonts w:ascii="Verdana" w:hAnsi="Verdana"/>
              </w:rPr>
            </w:pPr>
          </w:p>
        </w:tc>
      </w:tr>
      <w:tr w:rsidR="00166739" w:rsidRPr="00852F8C" w14:paraId="7FD52854" w14:textId="77777777" w:rsidTr="001F115A">
        <w:tc>
          <w:tcPr>
            <w:tcW w:w="3845" w:type="dxa"/>
            <w:shd w:val="clear" w:color="auto" w:fill="auto"/>
          </w:tcPr>
          <w:p w14:paraId="71BB1DA5" w14:textId="3DCBA393" w:rsidR="00166739" w:rsidRPr="0000785E" w:rsidRDefault="001F115A" w:rsidP="00F6467A">
            <w:pPr>
              <w:pStyle w:val="Default"/>
              <w:rPr>
                <w:rFonts w:ascii="Verdana" w:hAnsi="Verdana" w:cstheme="minorBidi"/>
                <w:color w:val="auto"/>
                <w:sz w:val="22"/>
                <w:szCs w:val="22"/>
                <w14:ligatures w14:val="none"/>
              </w:rPr>
            </w:pPr>
            <w:proofErr w:type="spellStart"/>
            <w:r w:rsidRPr="00946E7B">
              <w:rPr>
                <w:rFonts w:ascii="Verdana" w:hAnsi="Verdana"/>
                <w:b/>
                <w:bCs/>
                <w:sz w:val="22"/>
                <w:szCs w:val="22"/>
              </w:rPr>
              <w:t>Gamifant</w:t>
            </w:r>
            <w:proofErr w:type="spellEnd"/>
            <w:r w:rsidRPr="00946E7B">
              <w:rPr>
                <w:rFonts w:ascii="Verdana" w:hAnsi="Verdana"/>
                <w:sz w:val="22"/>
                <w:szCs w:val="22"/>
              </w:rPr>
              <w:t xml:space="preserve"> (</w:t>
            </w:r>
            <w:proofErr w:type="spellStart"/>
            <w:r w:rsidRPr="00946E7B">
              <w:rPr>
                <w:rFonts w:ascii="Verdana" w:hAnsi="Verdana"/>
                <w:sz w:val="22"/>
                <w:szCs w:val="22"/>
              </w:rPr>
              <w:t>emapalumab</w:t>
            </w:r>
            <w:proofErr w:type="spellEnd"/>
            <w:r w:rsidRPr="00946E7B">
              <w:rPr>
                <w:rFonts w:ascii="Verdana" w:hAnsi="Verdana"/>
                <w:sz w:val="22"/>
                <w:szCs w:val="22"/>
              </w:rPr>
              <w:t xml:space="preserve">) 5 mg/mL &amp; 25 mg/mL IV vials for hemophagocytic </w:t>
            </w:r>
            <w:proofErr w:type="spellStart"/>
            <w:r w:rsidRPr="00946E7B">
              <w:rPr>
                <w:rFonts w:ascii="Verdana" w:hAnsi="Verdana"/>
                <w:sz w:val="22"/>
                <w:szCs w:val="22"/>
              </w:rPr>
              <w:t>lymphohistiocytosis</w:t>
            </w:r>
            <w:proofErr w:type="spellEnd"/>
            <w:r w:rsidRPr="00946E7B">
              <w:rPr>
                <w:rFonts w:ascii="Verdana" w:hAnsi="Verdana"/>
                <w:sz w:val="22"/>
                <w:szCs w:val="22"/>
              </w:rPr>
              <w:t>/macrophage activation syndrome in known or suspected Still’s disease</w:t>
            </w:r>
          </w:p>
        </w:tc>
        <w:tc>
          <w:tcPr>
            <w:tcW w:w="3408" w:type="dxa"/>
            <w:shd w:val="clear" w:color="auto" w:fill="auto"/>
          </w:tcPr>
          <w:p w14:paraId="2B54360D" w14:textId="77777777" w:rsidR="001F115A" w:rsidRPr="00946E7B" w:rsidRDefault="001F115A" w:rsidP="001F115A">
            <w:pPr>
              <w:rPr>
                <w:rFonts w:ascii="Verdana" w:hAnsi="Verdana"/>
              </w:rPr>
            </w:pPr>
            <w:r w:rsidRPr="00946E7B">
              <w:rPr>
                <w:rFonts w:ascii="Verdana" w:hAnsi="Verdana"/>
              </w:rPr>
              <w:t>NF: all lines of business</w:t>
            </w:r>
          </w:p>
          <w:p w14:paraId="326D34FC" w14:textId="77777777" w:rsidR="00166739" w:rsidRPr="00AF03AD" w:rsidRDefault="00166739" w:rsidP="00746B73">
            <w:pPr>
              <w:rPr>
                <w:rFonts w:ascii="Verdana" w:hAnsi="Verdana"/>
              </w:rPr>
            </w:pPr>
          </w:p>
        </w:tc>
        <w:tc>
          <w:tcPr>
            <w:tcW w:w="3664" w:type="dxa"/>
            <w:shd w:val="clear" w:color="auto" w:fill="auto"/>
          </w:tcPr>
          <w:p w14:paraId="7D855C65" w14:textId="77777777" w:rsidR="00746B73" w:rsidRPr="00AF03AD" w:rsidRDefault="00746B73" w:rsidP="00746B73">
            <w:pPr>
              <w:rPr>
                <w:rFonts w:ascii="Verdana" w:hAnsi="Verdana"/>
              </w:rPr>
            </w:pPr>
            <w:r w:rsidRPr="00AF03AD">
              <w:rPr>
                <w:rFonts w:ascii="Verdana" w:hAnsi="Verdana"/>
              </w:rPr>
              <w:t>No change</w:t>
            </w:r>
          </w:p>
          <w:p w14:paraId="22966CB5" w14:textId="77777777" w:rsidR="00166739" w:rsidRPr="00AF03AD" w:rsidRDefault="00166739" w:rsidP="00746B73">
            <w:pPr>
              <w:rPr>
                <w:rFonts w:ascii="Verdana" w:hAnsi="Verdana"/>
              </w:rPr>
            </w:pPr>
          </w:p>
        </w:tc>
      </w:tr>
      <w:tr w:rsidR="00166739" w:rsidRPr="00852F8C" w14:paraId="4C1157FE" w14:textId="77777777" w:rsidTr="001F115A">
        <w:tc>
          <w:tcPr>
            <w:tcW w:w="3845" w:type="dxa"/>
            <w:shd w:val="clear" w:color="auto" w:fill="auto"/>
          </w:tcPr>
          <w:p w14:paraId="2987B41C" w14:textId="5C9B9E21" w:rsidR="00166739" w:rsidRPr="0000785E" w:rsidRDefault="001F115A" w:rsidP="00F6467A">
            <w:pPr>
              <w:pStyle w:val="Default"/>
              <w:rPr>
                <w:rFonts w:ascii="Verdana" w:hAnsi="Verdana" w:cstheme="minorBidi"/>
                <w:color w:val="auto"/>
                <w:sz w:val="22"/>
                <w:szCs w:val="22"/>
                <w14:ligatures w14:val="none"/>
              </w:rPr>
            </w:pPr>
            <w:proofErr w:type="spellStart"/>
            <w:r w:rsidRPr="00946E7B">
              <w:rPr>
                <w:rFonts w:ascii="Verdana" w:hAnsi="Verdana"/>
                <w:b/>
                <w:bCs/>
                <w:sz w:val="22"/>
                <w:szCs w:val="22"/>
              </w:rPr>
              <w:t>Mavyret</w:t>
            </w:r>
            <w:proofErr w:type="spellEnd"/>
            <w:r w:rsidRPr="00946E7B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  <w:r w:rsidRPr="00946E7B">
              <w:rPr>
                <w:rFonts w:ascii="Verdana" w:hAnsi="Verdana"/>
                <w:sz w:val="22"/>
                <w:szCs w:val="22"/>
              </w:rPr>
              <w:t>(</w:t>
            </w:r>
            <w:proofErr w:type="spellStart"/>
            <w:r w:rsidRPr="00946E7B">
              <w:rPr>
                <w:rFonts w:ascii="Verdana" w:hAnsi="Verdana"/>
                <w:sz w:val="22"/>
                <w:szCs w:val="22"/>
              </w:rPr>
              <w:t>glecaprevir</w:t>
            </w:r>
            <w:proofErr w:type="spellEnd"/>
            <w:r w:rsidRPr="00946E7B">
              <w:rPr>
                <w:rFonts w:ascii="Verdana" w:hAnsi="Verdana"/>
                <w:sz w:val="22"/>
                <w:szCs w:val="22"/>
              </w:rPr>
              <w:t>/</w:t>
            </w:r>
            <w:proofErr w:type="spellStart"/>
            <w:r w:rsidRPr="00946E7B">
              <w:rPr>
                <w:rFonts w:ascii="Verdana" w:hAnsi="Verdana"/>
                <w:sz w:val="22"/>
                <w:szCs w:val="22"/>
              </w:rPr>
              <w:t>pibrentasvi</w:t>
            </w:r>
            <w:proofErr w:type="spellEnd"/>
            <w:r w:rsidRPr="00946E7B">
              <w:rPr>
                <w:rFonts w:ascii="Verdana" w:hAnsi="Verdana"/>
                <w:sz w:val="22"/>
                <w:szCs w:val="22"/>
              </w:rPr>
              <w:t>) 100-40 mg tablets and 50-20 mg oral pellets for acute hepatitis C</w:t>
            </w:r>
          </w:p>
        </w:tc>
        <w:tc>
          <w:tcPr>
            <w:tcW w:w="3408" w:type="dxa"/>
            <w:shd w:val="clear" w:color="auto" w:fill="auto"/>
          </w:tcPr>
          <w:p w14:paraId="758534B9" w14:textId="13CC4BC2" w:rsidR="001F115A" w:rsidRPr="00946E7B" w:rsidRDefault="001F115A" w:rsidP="001F115A">
            <w:pPr>
              <w:rPr>
                <w:rFonts w:ascii="Verdana" w:hAnsi="Verdana"/>
              </w:rPr>
            </w:pPr>
            <w:r w:rsidRPr="00946E7B">
              <w:rPr>
                <w:rFonts w:ascii="Verdana" w:hAnsi="Verdana"/>
              </w:rPr>
              <w:t>F: Med</w:t>
            </w:r>
            <w:r w:rsidR="000C6EF5">
              <w:rPr>
                <w:rFonts w:ascii="Verdana" w:hAnsi="Verdana"/>
              </w:rPr>
              <w:t>icare</w:t>
            </w:r>
            <w:r w:rsidRPr="00946E7B">
              <w:rPr>
                <w:rFonts w:ascii="Verdana" w:hAnsi="Verdana"/>
              </w:rPr>
              <w:t>, PPO, IFP</w:t>
            </w:r>
          </w:p>
          <w:p w14:paraId="12449E9C" w14:textId="77777777" w:rsidR="001F115A" w:rsidRPr="00946E7B" w:rsidRDefault="001F115A" w:rsidP="001F115A">
            <w:pPr>
              <w:rPr>
                <w:rFonts w:ascii="Verdana" w:hAnsi="Verdana"/>
              </w:rPr>
            </w:pPr>
            <w:r w:rsidRPr="00946E7B">
              <w:rPr>
                <w:rFonts w:ascii="Verdana" w:hAnsi="Verdana"/>
              </w:rPr>
              <w:t>MA - PDL</w:t>
            </w:r>
          </w:p>
          <w:p w14:paraId="56156AB1" w14:textId="334A091B" w:rsidR="00166739" w:rsidRPr="00AF03AD" w:rsidRDefault="00166739" w:rsidP="00746B73">
            <w:pPr>
              <w:rPr>
                <w:rFonts w:ascii="Verdana" w:hAnsi="Verdana"/>
              </w:rPr>
            </w:pPr>
          </w:p>
        </w:tc>
        <w:tc>
          <w:tcPr>
            <w:tcW w:w="3664" w:type="dxa"/>
            <w:shd w:val="clear" w:color="auto" w:fill="auto"/>
          </w:tcPr>
          <w:p w14:paraId="00369664" w14:textId="77777777" w:rsidR="00746B73" w:rsidRPr="00AF03AD" w:rsidRDefault="00746B73" w:rsidP="00746B73">
            <w:pPr>
              <w:rPr>
                <w:rFonts w:ascii="Verdana" w:hAnsi="Verdana"/>
              </w:rPr>
            </w:pPr>
            <w:r w:rsidRPr="00AF03AD">
              <w:rPr>
                <w:rFonts w:ascii="Verdana" w:hAnsi="Verdana"/>
              </w:rPr>
              <w:t>No change</w:t>
            </w:r>
          </w:p>
          <w:p w14:paraId="0EAADDF2" w14:textId="77777777" w:rsidR="00166739" w:rsidRPr="00AF03AD" w:rsidRDefault="00166739" w:rsidP="00746B73">
            <w:pPr>
              <w:rPr>
                <w:rFonts w:ascii="Verdana" w:hAnsi="Verdana"/>
              </w:rPr>
            </w:pPr>
          </w:p>
        </w:tc>
      </w:tr>
      <w:tr w:rsidR="00166739" w:rsidRPr="00852F8C" w14:paraId="21A8E4DC" w14:textId="77777777" w:rsidTr="001F115A">
        <w:tc>
          <w:tcPr>
            <w:tcW w:w="3845" w:type="dxa"/>
            <w:shd w:val="clear" w:color="auto" w:fill="auto"/>
          </w:tcPr>
          <w:p w14:paraId="0475C968" w14:textId="2D5CF039" w:rsidR="00166739" w:rsidRPr="0000785E" w:rsidRDefault="001F115A" w:rsidP="00F6467A">
            <w:pPr>
              <w:pStyle w:val="Default"/>
              <w:rPr>
                <w:rFonts w:ascii="Verdana" w:hAnsi="Verdana" w:cstheme="minorBidi"/>
                <w:color w:val="auto"/>
                <w:sz w:val="22"/>
                <w:szCs w:val="22"/>
                <w14:ligatures w14:val="none"/>
              </w:rPr>
            </w:pPr>
            <w:proofErr w:type="spellStart"/>
            <w:r w:rsidRPr="00946E7B">
              <w:rPr>
                <w:rFonts w:ascii="Verdana" w:hAnsi="Verdana"/>
                <w:b/>
                <w:bCs/>
                <w:sz w:val="22"/>
                <w:szCs w:val="22"/>
              </w:rPr>
              <w:t>Mresvia</w:t>
            </w:r>
            <w:proofErr w:type="spellEnd"/>
            <w:r w:rsidRPr="00946E7B">
              <w:rPr>
                <w:rFonts w:ascii="Verdana" w:hAnsi="Verdana"/>
                <w:sz w:val="22"/>
                <w:szCs w:val="22"/>
              </w:rPr>
              <w:t xml:space="preserve"> (Respiratory Syncytial Virus Vaccine) 50 mcg/0.5 mL injection for prevention of RSV in individuals 18-59 years of age at increased risk of disease</w:t>
            </w:r>
          </w:p>
        </w:tc>
        <w:tc>
          <w:tcPr>
            <w:tcW w:w="3408" w:type="dxa"/>
            <w:shd w:val="clear" w:color="auto" w:fill="auto"/>
          </w:tcPr>
          <w:p w14:paraId="2E9A8B47" w14:textId="77777777" w:rsidR="001F115A" w:rsidRPr="00946E7B" w:rsidRDefault="001F115A" w:rsidP="001F115A">
            <w:pPr>
              <w:rPr>
                <w:rFonts w:ascii="Verdana" w:hAnsi="Verdana"/>
              </w:rPr>
            </w:pPr>
            <w:r w:rsidRPr="00946E7B">
              <w:rPr>
                <w:rFonts w:ascii="Verdana" w:hAnsi="Verdana"/>
              </w:rPr>
              <w:t>F: all lines of business</w:t>
            </w:r>
          </w:p>
          <w:p w14:paraId="35BC5E98" w14:textId="77777777" w:rsidR="00166739" w:rsidRPr="00AF03AD" w:rsidRDefault="00166739" w:rsidP="00746B73">
            <w:pPr>
              <w:rPr>
                <w:rFonts w:ascii="Verdana" w:hAnsi="Verdana"/>
              </w:rPr>
            </w:pPr>
          </w:p>
        </w:tc>
        <w:tc>
          <w:tcPr>
            <w:tcW w:w="3664" w:type="dxa"/>
            <w:shd w:val="clear" w:color="auto" w:fill="auto"/>
          </w:tcPr>
          <w:p w14:paraId="49342C01" w14:textId="77777777" w:rsidR="00746B73" w:rsidRPr="00AF03AD" w:rsidRDefault="00746B73" w:rsidP="00746B73">
            <w:pPr>
              <w:rPr>
                <w:rFonts w:ascii="Verdana" w:hAnsi="Verdana"/>
              </w:rPr>
            </w:pPr>
            <w:r w:rsidRPr="00AF03AD">
              <w:rPr>
                <w:rFonts w:ascii="Verdana" w:hAnsi="Verdana"/>
              </w:rPr>
              <w:t>No change</w:t>
            </w:r>
          </w:p>
          <w:p w14:paraId="1685AF75" w14:textId="77777777" w:rsidR="00166739" w:rsidRPr="00AF03AD" w:rsidRDefault="00166739" w:rsidP="00746B73">
            <w:pPr>
              <w:rPr>
                <w:rFonts w:ascii="Verdana" w:hAnsi="Verdana"/>
              </w:rPr>
            </w:pPr>
          </w:p>
        </w:tc>
      </w:tr>
      <w:tr w:rsidR="00166739" w:rsidRPr="00852F8C" w14:paraId="5D030395" w14:textId="77777777" w:rsidTr="001F115A">
        <w:tc>
          <w:tcPr>
            <w:tcW w:w="3845" w:type="dxa"/>
            <w:shd w:val="clear" w:color="auto" w:fill="auto"/>
          </w:tcPr>
          <w:p w14:paraId="7CE2438D" w14:textId="1A4F1E48" w:rsidR="00166739" w:rsidRPr="0000785E" w:rsidRDefault="001F115A" w:rsidP="00166739">
            <w:pPr>
              <w:rPr>
                <w:rFonts w:ascii="Verdana" w:hAnsi="Verdana"/>
              </w:rPr>
            </w:pPr>
            <w:proofErr w:type="spellStart"/>
            <w:r w:rsidRPr="00946E7B">
              <w:rPr>
                <w:rFonts w:ascii="Verdana" w:hAnsi="Verdana"/>
                <w:b/>
                <w:bCs/>
              </w:rPr>
              <w:t>Tybost</w:t>
            </w:r>
            <w:proofErr w:type="spellEnd"/>
            <w:r w:rsidRPr="00946E7B">
              <w:rPr>
                <w:rFonts w:ascii="Verdana" w:hAnsi="Verdana"/>
                <w:b/>
                <w:bCs/>
              </w:rPr>
              <w:t xml:space="preserve"> </w:t>
            </w:r>
            <w:r w:rsidRPr="00946E7B">
              <w:rPr>
                <w:rFonts w:ascii="Verdana" w:hAnsi="Verdana"/>
              </w:rPr>
              <w:t>(cobicistat) 90 &amp; 150 mg tablets for HIV in patients = 14kg indication expansion</w:t>
            </w:r>
          </w:p>
        </w:tc>
        <w:tc>
          <w:tcPr>
            <w:tcW w:w="3408" w:type="dxa"/>
            <w:shd w:val="clear" w:color="auto" w:fill="auto"/>
          </w:tcPr>
          <w:p w14:paraId="0C67568F" w14:textId="77777777" w:rsidR="001F115A" w:rsidRPr="00946E7B" w:rsidRDefault="001F115A" w:rsidP="001F115A">
            <w:pPr>
              <w:rPr>
                <w:rFonts w:ascii="Verdana" w:hAnsi="Verdana"/>
              </w:rPr>
            </w:pPr>
            <w:r w:rsidRPr="00946E7B">
              <w:rPr>
                <w:rFonts w:ascii="Verdana" w:hAnsi="Verdana"/>
              </w:rPr>
              <w:t>NF: all lines of business</w:t>
            </w:r>
          </w:p>
          <w:p w14:paraId="0F468338" w14:textId="77777777" w:rsidR="00166739" w:rsidRPr="00AF03AD" w:rsidRDefault="00166739" w:rsidP="00746B73">
            <w:pPr>
              <w:rPr>
                <w:rFonts w:ascii="Verdana" w:hAnsi="Verdana"/>
              </w:rPr>
            </w:pPr>
          </w:p>
        </w:tc>
        <w:tc>
          <w:tcPr>
            <w:tcW w:w="3664" w:type="dxa"/>
            <w:shd w:val="clear" w:color="auto" w:fill="auto"/>
          </w:tcPr>
          <w:p w14:paraId="71890C9C" w14:textId="77777777" w:rsidR="00746B73" w:rsidRPr="00AF03AD" w:rsidRDefault="00746B73" w:rsidP="00746B73">
            <w:pPr>
              <w:rPr>
                <w:rFonts w:ascii="Verdana" w:hAnsi="Verdana"/>
              </w:rPr>
            </w:pPr>
            <w:r w:rsidRPr="00AF03AD">
              <w:rPr>
                <w:rFonts w:ascii="Verdana" w:hAnsi="Verdana"/>
              </w:rPr>
              <w:t>No change</w:t>
            </w:r>
          </w:p>
          <w:p w14:paraId="1F24ACB9" w14:textId="77777777" w:rsidR="00166739" w:rsidRPr="00AF03AD" w:rsidRDefault="00166739" w:rsidP="00746B73">
            <w:pPr>
              <w:rPr>
                <w:rFonts w:ascii="Verdana" w:hAnsi="Verdana"/>
              </w:rPr>
            </w:pPr>
          </w:p>
        </w:tc>
      </w:tr>
      <w:tr w:rsidR="00166739" w:rsidRPr="00852F8C" w14:paraId="215003E8" w14:textId="77777777" w:rsidTr="001F115A">
        <w:tc>
          <w:tcPr>
            <w:tcW w:w="3845" w:type="dxa"/>
            <w:shd w:val="clear" w:color="auto" w:fill="auto"/>
          </w:tcPr>
          <w:p w14:paraId="3947B66E" w14:textId="09555689" w:rsidR="00166739" w:rsidRPr="0000785E" w:rsidRDefault="001F115A" w:rsidP="00F6467A">
            <w:pPr>
              <w:pStyle w:val="Default"/>
              <w:rPr>
                <w:rFonts w:ascii="Verdana" w:hAnsi="Verdana" w:cstheme="minorBidi"/>
                <w:color w:val="auto"/>
                <w:sz w:val="22"/>
                <w:szCs w:val="22"/>
                <w14:ligatures w14:val="none"/>
              </w:rPr>
            </w:pPr>
            <w:proofErr w:type="spellStart"/>
            <w:r w:rsidRPr="00946E7B">
              <w:rPr>
                <w:rFonts w:ascii="Verdana" w:hAnsi="Verdana"/>
                <w:b/>
                <w:bCs/>
                <w:sz w:val="22"/>
                <w:szCs w:val="22"/>
              </w:rPr>
              <w:t>Datroway</w:t>
            </w:r>
            <w:proofErr w:type="spellEnd"/>
            <w:r w:rsidRPr="00946E7B">
              <w:rPr>
                <w:rFonts w:ascii="Verdana" w:hAnsi="Verdana"/>
                <w:sz w:val="22"/>
                <w:szCs w:val="22"/>
              </w:rPr>
              <w:t xml:space="preserve"> (</w:t>
            </w:r>
            <w:proofErr w:type="spellStart"/>
            <w:r w:rsidRPr="00946E7B">
              <w:rPr>
                <w:rFonts w:ascii="Verdana" w:hAnsi="Verdana"/>
                <w:sz w:val="22"/>
                <w:szCs w:val="22"/>
              </w:rPr>
              <w:t>datopotamab</w:t>
            </w:r>
            <w:proofErr w:type="spellEnd"/>
            <w:r w:rsidRPr="00946E7B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Pr="00946E7B">
              <w:rPr>
                <w:rFonts w:ascii="Verdana" w:hAnsi="Verdana"/>
                <w:sz w:val="22"/>
                <w:szCs w:val="22"/>
              </w:rPr>
              <w:t>deruxtecan</w:t>
            </w:r>
            <w:proofErr w:type="spellEnd"/>
            <w:r w:rsidRPr="00946E7B">
              <w:rPr>
                <w:rFonts w:ascii="Verdana" w:hAnsi="Verdana"/>
                <w:sz w:val="22"/>
                <w:szCs w:val="22"/>
              </w:rPr>
              <w:t>) 100 mg IV vial for EGFR-mutated non-small cell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946E7B">
              <w:rPr>
                <w:rFonts w:ascii="Verdana" w:hAnsi="Verdana"/>
                <w:sz w:val="22"/>
                <w:szCs w:val="22"/>
              </w:rPr>
              <w:t>lung cancer</w:t>
            </w:r>
          </w:p>
        </w:tc>
        <w:tc>
          <w:tcPr>
            <w:tcW w:w="3408" w:type="dxa"/>
            <w:shd w:val="clear" w:color="auto" w:fill="auto"/>
          </w:tcPr>
          <w:p w14:paraId="0F2E68CA" w14:textId="7005753A" w:rsidR="00166739" w:rsidRPr="00AF03AD" w:rsidRDefault="001F115A" w:rsidP="00746B7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NF: All lines of business</w:t>
            </w:r>
          </w:p>
        </w:tc>
        <w:tc>
          <w:tcPr>
            <w:tcW w:w="3664" w:type="dxa"/>
            <w:shd w:val="clear" w:color="auto" w:fill="auto"/>
          </w:tcPr>
          <w:p w14:paraId="31B5BAA1" w14:textId="77777777" w:rsidR="00746B73" w:rsidRPr="00AF03AD" w:rsidRDefault="00746B73" w:rsidP="00746B73">
            <w:pPr>
              <w:rPr>
                <w:rFonts w:ascii="Verdana" w:hAnsi="Verdana"/>
              </w:rPr>
            </w:pPr>
            <w:r w:rsidRPr="00AF03AD">
              <w:rPr>
                <w:rFonts w:ascii="Verdana" w:hAnsi="Verdana"/>
              </w:rPr>
              <w:t>No change</w:t>
            </w:r>
          </w:p>
          <w:p w14:paraId="0276C429" w14:textId="77777777" w:rsidR="00166739" w:rsidRPr="00AF03AD" w:rsidRDefault="00166739" w:rsidP="00746B73">
            <w:pPr>
              <w:rPr>
                <w:rFonts w:ascii="Verdana" w:hAnsi="Verdana"/>
              </w:rPr>
            </w:pPr>
          </w:p>
        </w:tc>
      </w:tr>
      <w:tr w:rsidR="00166739" w:rsidRPr="00852F8C" w14:paraId="7C8936F3" w14:textId="77777777" w:rsidTr="001F115A">
        <w:tc>
          <w:tcPr>
            <w:tcW w:w="3845" w:type="dxa"/>
            <w:shd w:val="clear" w:color="auto" w:fill="auto"/>
          </w:tcPr>
          <w:p w14:paraId="20546E47" w14:textId="77777777" w:rsidR="001F115A" w:rsidRPr="00946E7B" w:rsidRDefault="001F115A" w:rsidP="001F115A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946E7B">
              <w:rPr>
                <w:rFonts w:ascii="Verdana" w:hAnsi="Verdana"/>
                <w:b/>
                <w:bCs/>
                <w:sz w:val="22"/>
                <w:szCs w:val="22"/>
              </w:rPr>
              <w:lastRenderedPageBreak/>
              <w:t>Keytruda</w:t>
            </w:r>
            <w:r w:rsidRPr="00946E7B">
              <w:rPr>
                <w:rFonts w:ascii="Verdana" w:hAnsi="Verdana"/>
                <w:sz w:val="22"/>
                <w:szCs w:val="22"/>
              </w:rPr>
              <w:t xml:space="preserve"> (pembrolizumab) 25 mg/mL IV vial for </w:t>
            </w:r>
            <w:proofErr w:type="spellStart"/>
            <w:r w:rsidRPr="00946E7B">
              <w:rPr>
                <w:rFonts w:ascii="Verdana" w:hAnsi="Verdana"/>
                <w:sz w:val="22"/>
                <w:szCs w:val="22"/>
              </w:rPr>
              <w:t>resectable</w:t>
            </w:r>
            <w:proofErr w:type="spellEnd"/>
            <w:r w:rsidRPr="00946E7B">
              <w:rPr>
                <w:rFonts w:ascii="Verdana" w:hAnsi="Verdana"/>
                <w:sz w:val="22"/>
                <w:szCs w:val="22"/>
              </w:rPr>
              <w:t xml:space="preserve"> locally advanced head &amp; neck</w:t>
            </w:r>
          </w:p>
          <w:p w14:paraId="04859285" w14:textId="62175429" w:rsidR="00166739" w:rsidRPr="0000785E" w:rsidRDefault="001F115A" w:rsidP="001F115A">
            <w:pPr>
              <w:pStyle w:val="Default"/>
              <w:rPr>
                <w:rFonts w:ascii="Verdana" w:hAnsi="Verdana" w:cstheme="minorBidi"/>
                <w:color w:val="auto"/>
                <w:sz w:val="22"/>
                <w:szCs w:val="22"/>
                <w14:ligatures w14:val="none"/>
              </w:rPr>
            </w:pPr>
            <w:r w:rsidRPr="00946E7B">
              <w:rPr>
                <w:rFonts w:ascii="Verdana" w:hAnsi="Verdana"/>
                <w:sz w:val="22"/>
                <w:szCs w:val="22"/>
              </w:rPr>
              <w:t>squamous cell cancer whose tumors express PD-L1I</w:t>
            </w:r>
          </w:p>
        </w:tc>
        <w:tc>
          <w:tcPr>
            <w:tcW w:w="3408" w:type="dxa"/>
            <w:shd w:val="clear" w:color="auto" w:fill="auto"/>
          </w:tcPr>
          <w:p w14:paraId="1352B649" w14:textId="77B7D134" w:rsidR="00166739" w:rsidRPr="00AF03AD" w:rsidRDefault="001F115A" w:rsidP="00746B7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NF: All lines of business</w:t>
            </w:r>
          </w:p>
        </w:tc>
        <w:tc>
          <w:tcPr>
            <w:tcW w:w="3664" w:type="dxa"/>
            <w:shd w:val="clear" w:color="auto" w:fill="auto"/>
          </w:tcPr>
          <w:p w14:paraId="23C57301" w14:textId="77777777" w:rsidR="00746B73" w:rsidRPr="00AF03AD" w:rsidRDefault="00746B73" w:rsidP="00746B73">
            <w:pPr>
              <w:rPr>
                <w:rFonts w:ascii="Verdana" w:hAnsi="Verdana"/>
              </w:rPr>
            </w:pPr>
            <w:r w:rsidRPr="00AF03AD">
              <w:rPr>
                <w:rFonts w:ascii="Verdana" w:hAnsi="Verdana"/>
              </w:rPr>
              <w:t>No change</w:t>
            </w:r>
          </w:p>
          <w:p w14:paraId="6727CA4F" w14:textId="77777777" w:rsidR="00166739" w:rsidRPr="00AF03AD" w:rsidRDefault="00166739" w:rsidP="00746B73">
            <w:pPr>
              <w:rPr>
                <w:rFonts w:ascii="Verdana" w:hAnsi="Verdana"/>
              </w:rPr>
            </w:pPr>
          </w:p>
        </w:tc>
      </w:tr>
      <w:tr w:rsidR="00166739" w:rsidRPr="00852F8C" w14:paraId="503A1F1B" w14:textId="77777777" w:rsidTr="001F115A">
        <w:tc>
          <w:tcPr>
            <w:tcW w:w="3845" w:type="dxa"/>
            <w:shd w:val="clear" w:color="auto" w:fill="auto"/>
          </w:tcPr>
          <w:p w14:paraId="67CE7B4A" w14:textId="3F53BD65" w:rsidR="00166739" w:rsidRPr="0000785E" w:rsidRDefault="001F115A" w:rsidP="00F6467A">
            <w:pPr>
              <w:pStyle w:val="Default"/>
              <w:rPr>
                <w:rFonts w:ascii="Verdana" w:hAnsi="Verdana" w:cstheme="minorBidi"/>
                <w:color w:val="auto"/>
                <w:sz w:val="22"/>
                <w:szCs w:val="22"/>
                <w14:ligatures w14:val="none"/>
              </w:rPr>
            </w:pPr>
            <w:proofErr w:type="spellStart"/>
            <w:r w:rsidRPr="00946E7B">
              <w:rPr>
                <w:rFonts w:ascii="Verdana" w:hAnsi="Verdana"/>
                <w:b/>
                <w:bCs/>
                <w:sz w:val="22"/>
                <w:szCs w:val="22"/>
              </w:rPr>
              <w:t>Monjuvi</w:t>
            </w:r>
            <w:proofErr w:type="spellEnd"/>
            <w:r w:rsidRPr="00946E7B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  <w:r w:rsidRPr="00946E7B">
              <w:rPr>
                <w:rFonts w:ascii="Verdana" w:hAnsi="Verdana"/>
                <w:sz w:val="22"/>
                <w:szCs w:val="22"/>
              </w:rPr>
              <w:t>(</w:t>
            </w:r>
            <w:proofErr w:type="spellStart"/>
            <w:r w:rsidRPr="00946E7B">
              <w:rPr>
                <w:rFonts w:ascii="Verdana" w:hAnsi="Verdana"/>
                <w:sz w:val="22"/>
                <w:szCs w:val="22"/>
              </w:rPr>
              <w:t>tafasitamab</w:t>
            </w:r>
            <w:proofErr w:type="spellEnd"/>
            <w:r w:rsidRPr="00946E7B">
              <w:rPr>
                <w:rFonts w:ascii="Verdana" w:hAnsi="Verdana"/>
                <w:sz w:val="22"/>
                <w:szCs w:val="22"/>
              </w:rPr>
              <w:t>) 200 mg IV vial in combo with lenalidomide &amp; rituximab for relapsed or refractory follicular lymphoma</w:t>
            </w:r>
          </w:p>
        </w:tc>
        <w:tc>
          <w:tcPr>
            <w:tcW w:w="3408" w:type="dxa"/>
            <w:shd w:val="clear" w:color="auto" w:fill="auto"/>
          </w:tcPr>
          <w:p w14:paraId="775CC2C9" w14:textId="5DA80B46" w:rsidR="00166739" w:rsidRPr="00AF03AD" w:rsidRDefault="001F115A" w:rsidP="00746B7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NF: All lines of business</w:t>
            </w:r>
          </w:p>
        </w:tc>
        <w:tc>
          <w:tcPr>
            <w:tcW w:w="3664" w:type="dxa"/>
            <w:shd w:val="clear" w:color="auto" w:fill="auto"/>
          </w:tcPr>
          <w:p w14:paraId="3D9F28FF" w14:textId="77777777" w:rsidR="00746B73" w:rsidRPr="00AF03AD" w:rsidRDefault="00746B73" w:rsidP="00746B73">
            <w:pPr>
              <w:rPr>
                <w:rFonts w:ascii="Verdana" w:hAnsi="Verdana"/>
              </w:rPr>
            </w:pPr>
            <w:r w:rsidRPr="00AF03AD">
              <w:rPr>
                <w:rFonts w:ascii="Verdana" w:hAnsi="Verdana"/>
              </w:rPr>
              <w:t>No change</w:t>
            </w:r>
          </w:p>
          <w:p w14:paraId="3CA9915B" w14:textId="77777777" w:rsidR="00166739" w:rsidRPr="00AF03AD" w:rsidRDefault="00166739" w:rsidP="00746B73">
            <w:pPr>
              <w:rPr>
                <w:rFonts w:ascii="Verdana" w:hAnsi="Verdana"/>
              </w:rPr>
            </w:pPr>
          </w:p>
        </w:tc>
      </w:tr>
      <w:tr w:rsidR="00166739" w:rsidRPr="00852F8C" w14:paraId="2CADF6B0" w14:textId="77777777" w:rsidTr="001F115A">
        <w:tc>
          <w:tcPr>
            <w:tcW w:w="3845" w:type="dxa"/>
            <w:shd w:val="clear" w:color="auto" w:fill="auto"/>
          </w:tcPr>
          <w:p w14:paraId="00C80469" w14:textId="27126773" w:rsidR="00166739" w:rsidRPr="0000785E" w:rsidRDefault="001F115A" w:rsidP="00F6467A">
            <w:pPr>
              <w:pStyle w:val="Default"/>
              <w:rPr>
                <w:rFonts w:ascii="Verdana" w:hAnsi="Verdana" w:cstheme="minorBidi"/>
                <w:color w:val="auto"/>
                <w:sz w:val="22"/>
                <w:szCs w:val="22"/>
                <w14:ligatures w14:val="none"/>
              </w:rPr>
            </w:pPr>
            <w:r w:rsidRPr="00946E7B">
              <w:rPr>
                <w:rFonts w:ascii="Verdana" w:hAnsi="Verdana"/>
                <w:b/>
                <w:bCs/>
                <w:sz w:val="22"/>
                <w:szCs w:val="22"/>
              </w:rPr>
              <w:t xml:space="preserve">Dupixent </w:t>
            </w:r>
            <w:r w:rsidRPr="00946E7B">
              <w:rPr>
                <w:rFonts w:ascii="Verdana" w:hAnsi="Verdana"/>
                <w:sz w:val="22"/>
                <w:szCs w:val="22"/>
              </w:rPr>
              <w:t>(dupilumab) 300 mg SQ injection for bullous pemphigoid</w:t>
            </w:r>
          </w:p>
        </w:tc>
        <w:tc>
          <w:tcPr>
            <w:tcW w:w="3408" w:type="dxa"/>
            <w:shd w:val="clear" w:color="auto" w:fill="auto"/>
          </w:tcPr>
          <w:p w14:paraId="373D98B9" w14:textId="03550D9D" w:rsidR="001F115A" w:rsidRPr="00946E7B" w:rsidRDefault="001F115A" w:rsidP="001F115A">
            <w:pPr>
              <w:rPr>
                <w:rFonts w:ascii="Verdana" w:hAnsi="Verdana"/>
              </w:rPr>
            </w:pPr>
            <w:r w:rsidRPr="00946E7B">
              <w:rPr>
                <w:rFonts w:ascii="Verdana" w:hAnsi="Verdana"/>
                <w:lang w:val="it-IT"/>
              </w:rPr>
              <w:t>F: Med</w:t>
            </w:r>
            <w:r w:rsidR="000C6EF5">
              <w:rPr>
                <w:rFonts w:ascii="Verdana" w:hAnsi="Verdana"/>
                <w:lang w:val="it-IT"/>
              </w:rPr>
              <w:t>icare</w:t>
            </w:r>
            <w:r w:rsidRPr="00946E7B">
              <w:rPr>
                <w:rFonts w:ascii="Verdana" w:hAnsi="Verdana"/>
                <w:lang w:val="it-IT"/>
              </w:rPr>
              <w:t>, PPO, IFP</w:t>
            </w:r>
          </w:p>
          <w:p w14:paraId="5118B671" w14:textId="77777777" w:rsidR="001F115A" w:rsidRPr="00946E7B" w:rsidRDefault="001F115A" w:rsidP="001F115A">
            <w:pPr>
              <w:rPr>
                <w:rFonts w:ascii="Verdana" w:hAnsi="Verdana"/>
              </w:rPr>
            </w:pPr>
            <w:r w:rsidRPr="00946E7B">
              <w:rPr>
                <w:rFonts w:ascii="Verdana" w:hAnsi="Verdana"/>
                <w:lang w:val="it-IT"/>
              </w:rPr>
              <w:t>MA - PDL</w:t>
            </w:r>
          </w:p>
          <w:p w14:paraId="145DE978" w14:textId="77777777" w:rsidR="00166739" w:rsidRPr="00AF03AD" w:rsidRDefault="00166739" w:rsidP="00746B73">
            <w:pPr>
              <w:rPr>
                <w:rFonts w:ascii="Verdana" w:hAnsi="Verdana"/>
              </w:rPr>
            </w:pPr>
          </w:p>
        </w:tc>
        <w:tc>
          <w:tcPr>
            <w:tcW w:w="3664" w:type="dxa"/>
            <w:shd w:val="clear" w:color="auto" w:fill="auto"/>
          </w:tcPr>
          <w:p w14:paraId="56910382" w14:textId="77777777" w:rsidR="00746B73" w:rsidRPr="0030792C" w:rsidRDefault="00746B73" w:rsidP="00746B73">
            <w:pPr>
              <w:rPr>
                <w:rFonts w:ascii="Verdana" w:hAnsi="Verdana"/>
              </w:rPr>
            </w:pPr>
            <w:r w:rsidRPr="0030792C">
              <w:rPr>
                <w:rFonts w:ascii="Verdana" w:hAnsi="Verdana"/>
              </w:rPr>
              <w:t>No change</w:t>
            </w:r>
          </w:p>
          <w:p w14:paraId="71D25258" w14:textId="77777777" w:rsidR="00166739" w:rsidRPr="00AF03AD" w:rsidRDefault="00166739" w:rsidP="00746B73">
            <w:pPr>
              <w:rPr>
                <w:rFonts w:ascii="Verdana" w:hAnsi="Verdana"/>
              </w:rPr>
            </w:pPr>
          </w:p>
        </w:tc>
      </w:tr>
    </w:tbl>
    <w:p w14:paraId="0671F897" w14:textId="3AD8DE7D" w:rsidR="007D1D6A" w:rsidRPr="00852F8C" w:rsidRDefault="007D1D6A" w:rsidP="003628BE">
      <w:pPr>
        <w:rPr>
          <w:rFonts w:ascii="Verdana" w:eastAsia="Times New Roman" w:hAnsi="Verdana" w:cs="Arial"/>
          <w:sz w:val="20"/>
          <w:szCs w:val="20"/>
        </w:rPr>
      </w:pPr>
    </w:p>
    <w:tbl>
      <w:tblPr>
        <w:tblStyle w:val="LightList-Accent5"/>
        <w:tblW w:w="10885" w:type="dxa"/>
        <w:tblInd w:w="-95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10885"/>
      </w:tblGrid>
      <w:tr w:rsidR="004971A5" w:rsidRPr="00852F8C" w14:paraId="26EAAAF1" w14:textId="77777777" w:rsidTr="001C6E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5" w:type="dxa"/>
            <w:shd w:val="clear" w:color="auto" w:fill="00205B"/>
          </w:tcPr>
          <w:p w14:paraId="34B53623" w14:textId="79C97540" w:rsidR="004971A5" w:rsidRPr="00852F8C" w:rsidRDefault="004971A5" w:rsidP="001C6EB3">
            <w:pPr>
              <w:spacing w:after="240"/>
              <w:rPr>
                <w:rFonts w:ascii="Verdana" w:eastAsia="Times New Roman" w:hAnsi="Verdana" w:cs="Arial"/>
                <w:sz w:val="20"/>
                <w:szCs w:val="20"/>
              </w:rPr>
            </w:pPr>
            <w:r w:rsidRPr="00852F8C">
              <w:rPr>
                <w:rFonts w:ascii="Verdana" w:eastAsia="Times New Roman" w:hAnsi="Verdana" w:cs="Arial"/>
                <w:sz w:val="20"/>
                <w:szCs w:val="20"/>
              </w:rPr>
              <w:t xml:space="preserve">New Generics Review </w:t>
            </w:r>
          </w:p>
        </w:tc>
      </w:tr>
    </w:tbl>
    <w:tbl>
      <w:tblPr>
        <w:tblStyle w:val="TableGrid"/>
        <w:tblW w:w="10917" w:type="dxa"/>
        <w:tblInd w:w="-95" w:type="dxa"/>
        <w:tblLook w:val="04A0" w:firstRow="1" w:lastRow="0" w:firstColumn="1" w:lastColumn="0" w:noHBand="0" w:noVBand="1"/>
      </w:tblPr>
      <w:tblGrid>
        <w:gridCol w:w="2520"/>
        <w:gridCol w:w="4262"/>
        <w:gridCol w:w="4135"/>
      </w:tblGrid>
      <w:tr w:rsidR="004971A5" w:rsidRPr="00852F8C" w14:paraId="3AC4146F" w14:textId="77777777" w:rsidTr="001C6EB3">
        <w:trPr>
          <w:trHeight w:val="566"/>
        </w:trPr>
        <w:tc>
          <w:tcPr>
            <w:tcW w:w="2520" w:type="dxa"/>
          </w:tcPr>
          <w:p w14:paraId="13ACAB4E" w14:textId="77777777" w:rsidR="004971A5" w:rsidRPr="00852F8C" w:rsidRDefault="004971A5" w:rsidP="001C6EB3">
            <w:pPr>
              <w:spacing w:after="240"/>
              <w:rPr>
                <w:rFonts w:ascii="Verdana" w:eastAsia="Times New Roman" w:hAnsi="Verdana" w:cs="Arial"/>
                <w:sz w:val="20"/>
                <w:szCs w:val="20"/>
              </w:rPr>
            </w:pPr>
            <w:r w:rsidRPr="00852F8C">
              <w:rPr>
                <w:rFonts w:ascii="Verdana" w:hAnsi="Verdana"/>
                <w:b/>
                <w:bCs/>
                <w:sz w:val="20"/>
                <w:szCs w:val="20"/>
              </w:rPr>
              <w:t>Drug</w:t>
            </w:r>
          </w:p>
        </w:tc>
        <w:tc>
          <w:tcPr>
            <w:tcW w:w="4262" w:type="dxa"/>
          </w:tcPr>
          <w:p w14:paraId="62349B50" w14:textId="20D15088" w:rsidR="004971A5" w:rsidRPr="00AB22E9" w:rsidRDefault="00AB22E9" w:rsidP="001C6EB3">
            <w:pPr>
              <w:spacing w:after="240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B22E9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Rationale/Alternative</w:t>
            </w:r>
          </w:p>
        </w:tc>
        <w:tc>
          <w:tcPr>
            <w:tcW w:w="4135" w:type="dxa"/>
          </w:tcPr>
          <w:p w14:paraId="17372CF3" w14:textId="77777777" w:rsidR="004971A5" w:rsidRPr="00852F8C" w:rsidRDefault="004971A5" w:rsidP="001C6EB3">
            <w:pPr>
              <w:spacing w:after="240"/>
              <w:rPr>
                <w:rFonts w:ascii="Verdana" w:eastAsia="Times New Roman" w:hAnsi="Verdana" w:cs="Arial"/>
                <w:sz w:val="20"/>
                <w:szCs w:val="20"/>
              </w:rPr>
            </w:pPr>
            <w:r w:rsidRPr="00852F8C">
              <w:rPr>
                <w:rFonts w:ascii="Verdana" w:hAnsi="Verdana"/>
                <w:b/>
                <w:sz w:val="20"/>
                <w:szCs w:val="20"/>
              </w:rPr>
              <w:t>Recommendation</w:t>
            </w:r>
          </w:p>
        </w:tc>
      </w:tr>
      <w:tr w:rsidR="00941DB4" w:rsidRPr="006547A2" w14:paraId="5ACE4110" w14:textId="77777777" w:rsidTr="001C6EB3">
        <w:tc>
          <w:tcPr>
            <w:tcW w:w="2520" w:type="dxa"/>
            <w:shd w:val="clear" w:color="auto" w:fill="auto"/>
          </w:tcPr>
          <w:p w14:paraId="5F50EE5E" w14:textId="77777777" w:rsidR="000C6EF5" w:rsidRPr="00F81C14" w:rsidRDefault="000C6EF5" w:rsidP="000C6EF5">
            <w:pPr>
              <w:rPr>
                <w:rFonts w:ascii="Verdana" w:hAnsi="Verdana"/>
              </w:rPr>
            </w:pPr>
            <w:r w:rsidRPr="00F81C14">
              <w:rPr>
                <w:rFonts w:ascii="Verdana" w:hAnsi="Verdana"/>
              </w:rPr>
              <w:t>Aptiom (</w:t>
            </w:r>
            <w:proofErr w:type="spellStart"/>
            <w:r w:rsidRPr="00F81C14">
              <w:rPr>
                <w:rFonts w:ascii="Verdana" w:hAnsi="Verdana"/>
                <w:b/>
                <w:bCs/>
              </w:rPr>
              <w:t>eslicarbazepine</w:t>
            </w:r>
            <w:proofErr w:type="spellEnd"/>
            <w:r w:rsidRPr="00F81C14">
              <w:rPr>
                <w:rFonts w:ascii="Verdana" w:hAnsi="Verdana"/>
              </w:rPr>
              <w:t>) 200, 400, 600, &amp; 800 mg tablets for partial-onset seizures</w:t>
            </w:r>
          </w:p>
          <w:p w14:paraId="0F50BBF8" w14:textId="352FD1E9" w:rsidR="00941DB4" w:rsidRPr="006547A2" w:rsidRDefault="00941DB4" w:rsidP="00941DB4">
            <w:pPr>
              <w:rPr>
                <w:rFonts w:ascii="Verdana" w:hAnsi="Verdana" w:cs="Arial"/>
              </w:rPr>
            </w:pPr>
          </w:p>
        </w:tc>
        <w:tc>
          <w:tcPr>
            <w:tcW w:w="4262" w:type="dxa"/>
            <w:shd w:val="clear" w:color="auto" w:fill="auto"/>
          </w:tcPr>
          <w:p w14:paraId="4874BBAD" w14:textId="77777777" w:rsidR="000C6EF5" w:rsidRPr="00F81C14" w:rsidRDefault="000C6EF5" w:rsidP="000C6EF5">
            <w:pPr>
              <w:rPr>
                <w:rFonts w:ascii="Verdana" w:hAnsi="Verdana"/>
              </w:rPr>
            </w:pPr>
            <w:r w:rsidRPr="00F81C14">
              <w:rPr>
                <w:rFonts w:ascii="Verdana" w:hAnsi="Verdana"/>
              </w:rPr>
              <w:t xml:space="preserve">Generic competition for Aptiom has launched, with at least 6 manufacturers marketing </w:t>
            </w:r>
            <w:proofErr w:type="spellStart"/>
            <w:r w:rsidRPr="00F81C14">
              <w:rPr>
                <w:rFonts w:ascii="Verdana" w:hAnsi="Verdana"/>
              </w:rPr>
              <w:t>eslicarbazepine</w:t>
            </w:r>
            <w:proofErr w:type="spellEnd"/>
          </w:p>
          <w:p w14:paraId="2747E42C" w14:textId="26CBCFCA" w:rsidR="00941DB4" w:rsidRPr="006547A2" w:rsidRDefault="00941DB4" w:rsidP="00EA0D64">
            <w:pPr>
              <w:rPr>
                <w:rFonts w:ascii="Verdana" w:hAnsi="Verdana"/>
              </w:rPr>
            </w:pPr>
          </w:p>
        </w:tc>
        <w:tc>
          <w:tcPr>
            <w:tcW w:w="4135" w:type="dxa"/>
            <w:shd w:val="clear" w:color="auto" w:fill="auto"/>
          </w:tcPr>
          <w:p w14:paraId="6D8A5358" w14:textId="374356D8" w:rsidR="000C6EF5" w:rsidRDefault="00FB700B" w:rsidP="000C6EF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F: Medicare, PPO</w:t>
            </w:r>
          </w:p>
          <w:p w14:paraId="1F33AB37" w14:textId="1682E978" w:rsidR="000C6EF5" w:rsidRPr="006547A2" w:rsidRDefault="000C6EF5" w:rsidP="000C6EF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NF: IFP, MA</w:t>
            </w:r>
          </w:p>
          <w:p w14:paraId="0C0945FA" w14:textId="3255B23D" w:rsidR="00941DB4" w:rsidRPr="006547A2" w:rsidRDefault="00941DB4" w:rsidP="00FB700B">
            <w:pPr>
              <w:rPr>
                <w:rFonts w:ascii="Verdana" w:hAnsi="Verdana"/>
              </w:rPr>
            </w:pPr>
          </w:p>
        </w:tc>
      </w:tr>
      <w:tr w:rsidR="00FB700B" w:rsidRPr="006547A2" w14:paraId="153DEB7E" w14:textId="77777777" w:rsidTr="001C6EB3">
        <w:tc>
          <w:tcPr>
            <w:tcW w:w="2520" w:type="dxa"/>
            <w:shd w:val="clear" w:color="auto" w:fill="auto"/>
          </w:tcPr>
          <w:p w14:paraId="7CFC9351" w14:textId="77777777" w:rsidR="000C6EF5" w:rsidRPr="00F81C14" w:rsidRDefault="000C6EF5" w:rsidP="000C6EF5">
            <w:pPr>
              <w:rPr>
                <w:rFonts w:ascii="Verdana" w:hAnsi="Verdana"/>
              </w:rPr>
            </w:pPr>
            <w:r w:rsidRPr="00F81C14">
              <w:rPr>
                <w:rFonts w:ascii="Verdana" w:hAnsi="Verdana"/>
              </w:rPr>
              <w:t>Qsymia (</w:t>
            </w:r>
            <w:r w:rsidRPr="00F81C14">
              <w:rPr>
                <w:rFonts w:ascii="Verdana" w:hAnsi="Verdana"/>
                <w:b/>
                <w:bCs/>
              </w:rPr>
              <w:t>phentermine-topiramate</w:t>
            </w:r>
            <w:r w:rsidRPr="00F81C14">
              <w:rPr>
                <w:rFonts w:ascii="Verdana" w:hAnsi="Verdana"/>
              </w:rPr>
              <w:t>) 3.75-23, 7.5-46, 11.25-69, &amp; 15-92 mg ER capsules for chronic weight management</w:t>
            </w:r>
          </w:p>
          <w:p w14:paraId="0FDA7E69" w14:textId="0694AAAB" w:rsidR="00FB700B" w:rsidRPr="006547A2" w:rsidRDefault="00FB700B" w:rsidP="00FB700B">
            <w:pPr>
              <w:rPr>
                <w:rFonts w:ascii="Verdana" w:hAnsi="Verdana" w:cs="Arial"/>
              </w:rPr>
            </w:pPr>
          </w:p>
        </w:tc>
        <w:tc>
          <w:tcPr>
            <w:tcW w:w="4262" w:type="dxa"/>
            <w:shd w:val="clear" w:color="auto" w:fill="auto"/>
          </w:tcPr>
          <w:p w14:paraId="6646A206" w14:textId="77777777" w:rsidR="000C6EF5" w:rsidRPr="00F81C14" w:rsidRDefault="000C6EF5" w:rsidP="000C6EF5">
            <w:pPr>
              <w:rPr>
                <w:rFonts w:ascii="Verdana" w:hAnsi="Verdana"/>
              </w:rPr>
            </w:pPr>
            <w:r w:rsidRPr="00F81C14">
              <w:rPr>
                <w:rFonts w:ascii="Verdana" w:hAnsi="Verdana"/>
              </w:rPr>
              <w:t xml:space="preserve">Two manufacturers have launched generic alternatives of phentermine/topiramate capsules. The generics are still considerably higher net cost than the brand was before generic entry. </w:t>
            </w:r>
          </w:p>
          <w:p w14:paraId="4C302C2E" w14:textId="4D08A897" w:rsidR="00FB700B" w:rsidRPr="006547A2" w:rsidRDefault="00FB700B" w:rsidP="00FB700B">
            <w:pPr>
              <w:rPr>
                <w:rFonts w:ascii="Verdana" w:hAnsi="Verdana"/>
              </w:rPr>
            </w:pPr>
          </w:p>
        </w:tc>
        <w:tc>
          <w:tcPr>
            <w:tcW w:w="4135" w:type="dxa"/>
            <w:shd w:val="clear" w:color="auto" w:fill="auto"/>
          </w:tcPr>
          <w:p w14:paraId="6F1BB6BA" w14:textId="11A6853F" w:rsidR="00FB700B" w:rsidRPr="006547A2" w:rsidRDefault="000C6EF5" w:rsidP="00FB70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</w:t>
            </w:r>
            <w:r w:rsidR="00FB700B">
              <w:rPr>
                <w:rFonts w:ascii="Verdana" w:hAnsi="Verdana"/>
              </w:rPr>
              <w:t>F: all lines of business</w:t>
            </w:r>
          </w:p>
        </w:tc>
      </w:tr>
      <w:tr w:rsidR="000C6EF5" w:rsidRPr="006547A2" w14:paraId="466104D0" w14:textId="77777777" w:rsidTr="001C6EB3">
        <w:tc>
          <w:tcPr>
            <w:tcW w:w="2520" w:type="dxa"/>
            <w:shd w:val="clear" w:color="auto" w:fill="auto"/>
          </w:tcPr>
          <w:p w14:paraId="426782B7" w14:textId="77777777" w:rsidR="000C6EF5" w:rsidRPr="00F81C14" w:rsidRDefault="000C6EF5" w:rsidP="000C6EF5">
            <w:pPr>
              <w:rPr>
                <w:rFonts w:ascii="Verdana" w:hAnsi="Verdana"/>
                <w:color w:val="000000"/>
              </w:rPr>
            </w:pPr>
            <w:proofErr w:type="spellStart"/>
            <w:r w:rsidRPr="00F81C14">
              <w:rPr>
                <w:rFonts w:ascii="Verdana" w:hAnsi="Verdana"/>
                <w:color w:val="000000"/>
              </w:rPr>
              <w:t>Promacta</w:t>
            </w:r>
            <w:proofErr w:type="spellEnd"/>
            <w:r w:rsidRPr="00F81C14">
              <w:rPr>
                <w:rFonts w:ascii="Verdana" w:hAnsi="Verdana"/>
                <w:color w:val="000000"/>
              </w:rPr>
              <w:t xml:space="preserve"> (</w:t>
            </w:r>
            <w:proofErr w:type="spellStart"/>
            <w:r w:rsidRPr="00F81C14">
              <w:rPr>
                <w:rFonts w:ascii="Verdana" w:hAnsi="Verdana"/>
                <w:b/>
                <w:bCs/>
                <w:color w:val="000000"/>
              </w:rPr>
              <w:t>eltrombopag</w:t>
            </w:r>
            <w:proofErr w:type="spellEnd"/>
            <w:r w:rsidRPr="00F81C14">
              <w:rPr>
                <w:rFonts w:ascii="Verdana" w:hAnsi="Verdana"/>
                <w:color w:val="000000"/>
              </w:rPr>
              <w:t xml:space="preserve">) 12.5 &amp; 25 mg packets for suspension &amp; 12.5, 25, 50, &amp; 75 mg tablets for chronic immune thrombocytopenia (ITP), thrombocytopenia in hepatitis C, &amp; </w:t>
            </w:r>
            <w:r w:rsidRPr="00F81C14">
              <w:rPr>
                <w:rFonts w:ascii="Verdana" w:hAnsi="Verdana"/>
                <w:color w:val="000000"/>
              </w:rPr>
              <w:lastRenderedPageBreak/>
              <w:t>severe aplastic anemia</w:t>
            </w:r>
          </w:p>
          <w:p w14:paraId="471AAA8F" w14:textId="10641F7E" w:rsidR="000C6EF5" w:rsidRPr="006547A2" w:rsidRDefault="000C6EF5" w:rsidP="000C6EF5">
            <w:pPr>
              <w:rPr>
                <w:rFonts w:ascii="Verdana" w:hAnsi="Verdana" w:cs="Arial"/>
              </w:rPr>
            </w:pPr>
          </w:p>
        </w:tc>
        <w:tc>
          <w:tcPr>
            <w:tcW w:w="4262" w:type="dxa"/>
            <w:shd w:val="clear" w:color="auto" w:fill="auto"/>
          </w:tcPr>
          <w:p w14:paraId="650E1CBE" w14:textId="6E2E3506" w:rsidR="000C6EF5" w:rsidRPr="006547A2" w:rsidRDefault="000C6EF5" w:rsidP="000C6EF5">
            <w:pPr>
              <w:rPr>
                <w:rFonts w:ascii="Verdana" w:hAnsi="Verdana"/>
              </w:rPr>
            </w:pPr>
            <w:r w:rsidRPr="00F81C14">
              <w:rPr>
                <w:rFonts w:ascii="Verdana" w:hAnsi="Verdana"/>
              </w:rPr>
              <w:lastRenderedPageBreak/>
              <w:t xml:space="preserve">A single generic manufacturer has launched </w:t>
            </w:r>
            <w:proofErr w:type="spellStart"/>
            <w:r w:rsidRPr="00F81C14">
              <w:rPr>
                <w:rFonts w:ascii="Verdana" w:hAnsi="Verdana"/>
              </w:rPr>
              <w:t>eltrombopag</w:t>
            </w:r>
            <w:proofErr w:type="spellEnd"/>
            <w:r w:rsidRPr="00F81C14">
              <w:rPr>
                <w:rFonts w:ascii="Verdana" w:hAnsi="Verdana"/>
              </w:rPr>
              <w:t xml:space="preserve"> for all strengths of the tablets and packets for suspension. The first manufacturer has 180-day exclusivity, and significant reductions in price are not anticipated until after that expires. The new generic is approximately 10% reduction in AWP list price and 21% for WAC price.</w:t>
            </w:r>
          </w:p>
        </w:tc>
        <w:tc>
          <w:tcPr>
            <w:tcW w:w="4135" w:type="dxa"/>
            <w:shd w:val="clear" w:color="auto" w:fill="auto"/>
          </w:tcPr>
          <w:p w14:paraId="69719B55" w14:textId="42816E8F" w:rsidR="000C6EF5" w:rsidRPr="006547A2" w:rsidRDefault="000C6EF5" w:rsidP="000C6EF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F: all lines of business</w:t>
            </w:r>
          </w:p>
        </w:tc>
      </w:tr>
      <w:tr w:rsidR="000C6EF5" w:rsidRPr="006547A2" w14:paraId="097E7538" w14:textId="77777777" w:rsidTr="001C6EB3">
        <w:tc>
          <w:tcPr>
            <w:tcW w:w="2520" w:type="dxa"/>
            <w:shd w:val="clear" w:color="auto" w:fill="auto"/>
          </w:tcPr>
          <w:p w14:paraId="3DEBB748" w14:textId="4D4313D3" w:rsidR="000C6EF5" w:rsidRPr="006547A2" w:rsidRDefault="000C6EF5" w:rsidP="000C6EF5">
            <w:pPr>
              <w:rPr>
                <w:rFonts w:ascii="Verdana" w:hAnsi="Verdana" w:cs="Arial"/>
              </w:rPr>
            </w:pPr>
            <w:proofErr w:type="spellStart"/>
            <w:r w:rsidRPr="00F81C14">
              <w:rPr>
                <w:rFonts w:ascii="Verdana" w:hAnsi="Verdana"/>
                <w:color w:val="000000"/>
              </w:rPr>
              <w:t>Jynarque</w:t>
            </w:r>
            <w:proofErr w:type="spellEnd"/>
            <w:r w:rsidRPr="00F81C14">
              <w:rPr>
                <w:rFonts w:ascii="Verdana" w:hAnsi="Verdana"/>
                <w:color w:val="000000"/>
              </w:rPr>
              <w:t xml:space="preserve"> (</w:t>
            </w:r>
            <w:r w:rsidRPr="00F81C14">
              <w:rPr>
                <w:rFonts w:ascii="Verdana" w:hAnsi="Verdana"/>
                <w:b/>
                <w:bCs/>
                <w:color w:val="000000"/>
              </w:rPr>
              <w:t>tolvaptan</w:t>
            </w:r>
            <w:r w:rsidRPr="00F81C14">
              <w:rPr>
                <w:rFonts w:ascii="Verdana" w:hAnsi="Verdana"/>
                <w:color w:val="000000"/>
              </w:rPr>
              <w:t>) 15 &amp; 30 mg tablets &amp; multi-strength therapy packs for autosomal dominant polycystic kidney disease</w:t>
            </w:r>
          </w:p>
        </w:tc>
        <w:tc>
          <w:tcPr>
            <w:tcW w:w="4262" w:type="dxa"/>
            <w:shd w:val="clear" w:color="auto" w:fill="auto"/>
          </w:tcPr>
          <w:p w14:paraId="756BA6D2" w14:textId="77777777" w:rsidR="000C6EF5" w:rsidRPr="00F81C14" w:rsidRDefault="000C6EF5" w:rsidP="000C6EF5">
            <w:pPr>
              <w:rPr>
                <w:rFonts w:ascii="Verdana" w:hAnsi="Verdana"/>
              </w:rPr>
            </w:pPr>
            <w:r w:rsidRPr="00F81C14">
              <w:rPr>
                <w:rFonts w:ascii="Verdana" w:hAnsi="Verdana"/>
              </w:rPr>
              <w:t xml:space="preserve">Generic tolvaptan, the equivalent of </w:t>
            </w:r>
            <w:proofErr w:type="spellStart"/>
            <w:r w:rsidRPr="00F81C14">
              <w:rPr>
                <w:rFonts w:ascii="Verdana" w:hAnsi="Verdana"/>
              </w:rPr>
              <w:t>Jynarque</w:t>
            </w:r>
            <w:proofErr w:type="spellEnd"/>
            <w:r w:rsidRPr="00F81C14">
              <w:rPr>
                <w:rFonts w:ascii="Verdana" w:hAnsi="Verdana"/>
              </w:rPr>
              <w:t xml:space="preserve">, recently launched and is indicated for autosomal dominant polycystic kidney disease. </w:t>
            </w:r>
          </w:p>
          <w:p w14:paraId="16E31F99" w14:textId="0BF2E392" w:rsidR="000C6EF5" w:rsidRPr="006547A2" w:rsidRDefault="000C6EF5" w:rsidP="000C6EF5">
            <w:pPr>
              <w:rPr>
                <w:rFonts w:ascii="Verdana" w:hAnsi="Verdana"/>
              </w:rPr>
            </w:pPr>
          </w:p>
        </w:tc>
        <w:tc>
          <w:tcPr>
            <w:tcW w:w="4135" w:type="dxa"/>
            <w:shd w:val="clear" w:color="auto" w:fill="auto"/>
          </w:tcPr>
          <w:p w14:paraId="13580484" w14:textId="77777777" w:rsidR="000C6EF5" w:rsidRPr="00F81C14" w:rsidRDefault="000C6EF5" w:rsidP="000C6EF5">
            <w:pPr>
              <w:rPr>
                <w:rFonts w:ascii="Verdana" w:hAnsi="Verdana"/>
              </w:rPr>
            </w:pPr>
            <w:r w:rsidRPr="00F81C14">
              <w:rPr>
                <w:rFonts w:ascii="Verdana" w:hAnsi="Verdana"/>
              </w:rPr>
              <w:t>F: IFP, MA</w:t>
            </w:r>
          </w:p>
          <w:p w14:paraId="32B20409" w14:textId="1052FB1A" w:rsidR="000C6EF5" w:rsidRPr="00F81C14" w:rsidRDefault="000C6EF5" w:rsidP="000C6EF5">
            <w:pPr>
              <w:rPr>
                <w:rFonts w:ascii="Verdana" w:hAnsi="Verdana"/>
              </w:rPr>
            </w:pPr>
            <w:r w:rsidRPr="00F81C14">
              <w:rPr>
                <w:rFonts w:ascii="Verdana" w:hAnsi="Verdana"/>
              </w:rPr>
              <w:t>NF: Med</w:t>
            </w:r>
            <w:r>
              <w:rPr>
                <w:rFonts w:ascii="Verdana" w:hAnsi="Verdana"/>
              </w:rPr>
              <w:t>icare</w:t>
            </w:r>
            <w:r w:rsidRPr="00F81C14">
              <w:rPr>
                <w:rFonts w:ascii="Verdana" w:hAnsi="Verdana"/>
              </w:rPr>
              <w:t>, PPO</w:t>
            </w:r>
          </w:p>
          <w:p w14:paraId="223FED47" w14:textId="07DBB915" w:rsidR="000C6EF5" w:rsidRPr="006547A2" w:rsidRDefault="000C6EF5" w:rsidP="000C6EF5">
            <w:pPr>
              <w:rPr>
                <w:rFonts w:ascii="Verdana" w:hAnsi="Verdana"/>
              </w:rPr>
            </w:pPr>
          </w:p>
        </w:tc>
      </w:tr>
      <w:tr w:rsidR="000C6EF5" w:rsidRPr="006547A2" w14:paraId="22504A76" w14:textId="77777777" w:rsidTr="001C6EB3">
        <w:tc>
          <w:tcPr>
            <w:tcW w:w="2520" w:type="dxa"/>
            <w:shd w:val="clear" w:color="auto" w:fill="auto"/>
          </w:tcPr>
          <w:p w14:paraId="3FA80122" w14:textId="77777777" w:rsidR="000C6EF5" w:rsidRPr="00F81C14" w:rsidRDefault="000C6EF5" w:rsidP="000C6EF5">
            <w:pPr>
              <w:rPr>
                <w:rFonts w:ascii="Verdana" w:hAnsi="Verdana"/>
                <w:color w:val="000000"/>
              </w:rPr>
            </w:pPr>
            <w:proofErr w:type="spellStart"/>
            <w:r w:rsidRPr="00F81C14">
              <w:rPr>
                <w:rFonts w:ascii="Verdana" w:hAnsi="Verdana"/>
                <w:color w:val="000000"/>
              </w:rPr>
              <w:t>Complera</w:t>
            </w:r>
            <w:proofErr w:type="spellEnd"/>
            <w:r w:rsidRPr="00F81C14">
              <w:rPr>
                <w:rFonts w:ascii="Verdana" w:hAnsi="Verdana"/>
                <w:color w:val="000000"/>
              </w:rPr>
              <w:t xml:space="preserve"> (</w:t>
            </w:r>
            <w:r w:rsidRPr="00F81C14">
              <w:rPr>
                <w:rFonts w:ascii="Verdana" w:hAnsi="Verdana"/>
                <w:b/>
                <w:bCs/>
                <w:color w:val="000000"/>
              </w:rPr>
              <w:t>emtricitabine-</w:t>
            </w:r>
            <w:proofErr w:type="spellStart"/>
            <w:r w:rsidRPr="00F81C14">
              <w:rPr>
                <w:rFonts w:ascii="Verdana" w:hAnsi="Verdana"/>
                <w:b/>
                <w:bCs/>
                <w:color w:val="000000"/>
              </w:rPr>
              <w:t>rilpivirine</w:t>
            </w:r>
            <w:proofErr w:type="spellEnd"/>
            <w:r w:rsidRPr="00F81C14">
              <w:rPr>
                <w:rFonts w:ascii="Verdana" w:hAnsi="Verdana"/>
                <w:b/>
                <w:bCs/>
                <w:color w:val="000000"/>
              </w:rPr>
              <w:t xml:space="preserve">-tenofovir </w:t>
            </w:r>
            <w:proofErr w:type="spellStart"/>
            <w:r w:rsidRPr="00F81C14">
              <w:rPr>
                <w:rFonts w:ascii="Verdana" w:hAnsi="Verdana"/>
                <w:b/>
                <w:bCs/>
                <w:color w:val="000000"/>
              </w:rPr>
              <w:t>df</w:t>
            </w:r>
            <w:proofErr w:type="spellEnd"/>
            <w:r w:rsidRPr="00F81C14">
              <w:rPr>
                <w:rFonts w:ascii="Verdana" w:hAnsi="Verdana"/>
                <w:color w:val="000000"/>
              </w:rPr>
              <w:t>) 200-25-300 mg tablets for HIV-1 infection</w:t>
            </w:r>
          </w:p>
          <w:p w14:paraId="69BBF7BE" w14:textId="0ED11093" w:rsidR="000C6EF5" w:rsidRPr="006547A2" w:rsidRDefault="000C6EF5" w:rsidP="000C6EF5">
            <w:pPr>
              <w:rPr>
                <w:rFonts w:ascii="Verdana" w:hAnsi="Verdana" w:cs="Arial"/>
              </w:rPr>
            </w:pPr>
          </w:p>
        </w:tc>
        <w:tc>
          <w:tcPr>
            <w:tcW w:w="4262" w:type="dxa"/>
            <w:shd w:val="clear" w:color="auto" w:fill="auto"/>
          </w:tcPr>
          <w:p w14:paraId="3A9742C0" w14:textId="77777777" w:rsidR="000C6EF5" w:rsidRPr="00C61183" w:rsidRDefault="000C6EF5" w:rsidP="000C6EF5">
            <w:pPr>
              <w:rPr>
                <w:rFonts w:ascii="Verdana" w:hAnsi="Verdana"/>
              </w:rPr>
            </w:pPr>
            <w:r w:rsidRPr="00C61183">
              <w:rPr>
                <w:rFonts w:ascii="Verdana" w:hAnsi="Verdana"/>
              </w:rPr>
              <w:t>A new generic for combination HIV treatment, emtricitabine/</w:t>
            </w:r>
            <w:proofErr w:type="spellStart"/>
            <w:r w:rsidRPr="00C61183">
              <w:rPr>
                <w:rFonts w:ascii="Verdana" w:hAnsi="Verdana"/>
              </w:rPr>
              <w:t>rilpivirine</w:t>
            </w:r>
            <w:proofErr w:type="spellEnd"/>
            <w:r w:rsidRPr="00C61183">
              <w:rPr>
                <w:rFonts w:ascii="Verdana" w:hAnsi="Verdana"/>
              </w:rPr>
              <w:t xml:space="preserve">/tenofovir DF, has launched at approximately a 10% WAC discount to the branded agent. </w:t>
            </w:r>
          </w:p>
          <w:p w14:paraId="6B1C1B92" w14:textId="6C18CF2E" w:rsidR="000C6EF5" w:rsidRPr="006547A2" w:rsidRDefault="000C6EF5" w:rsidP="000C6EF5">
            <w:pPr>
              <w:rPr>
                <w:rFonts w:ascii="Verdana" w:hAnsi="Verdana"/>
              </w:rPr>
            </w:pPr>
          </w:p>
        </w:tc>
        <w:tc>
          <w:tcPr>
            <w:tcW w:w="4135" w:type="dxa"/>
            <w:shd w:val="clear" w:color="auto" w:fill="auto"/>
          </w:tcPr>
          <w:p w14:paraId="305AB14B" w14:textId="08DBCFEF" w:rsidR="000C6EF5" w:rsidRPr="006547A2" w:rsidRDefault="000C6EF5" w:rsidP="000C6EF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F: all lines of business</w:t>
            </w:r>
          </w:p>
        </w:tc>
      </w:tr>
      <w:tr w:rsidR="000C6EF5" w:rsidRPr="006547A2" w14:paraId="35A63BF4" w14:textId="77777777" w:rsidTr="001C6EB3">
        <w:tc>
          <w:tcPr>
            <w:tcW w:w="2520" w:type="dxa"/>
            <w:shd w:val="clear" w:color="auto" w:fill="auto"/>
          </w:tcPr>
          <w:p w14:paraId="3733ACC7" w14:textId="77777777" w:rsidR="000C6EF5" w:rsidRPr="00C61183" w:rsidRDefault="000C6EF5" w:rsidP="000C6EF5">
            <w:pPr>
              <w:rPr>
                <w:rFonts w:ascii="Verdana" w:hAnsi="Verdana"/>
                <w:color w:val="000000"/>
              </w:rPr>
            </w:pPr>
            <w:proofErr w:type="spellStart"/>
            <w:r w:rsidRPr="00C61183">
              <w:rPr>
                <w:rFonts w:ascii="Verdana" w:hAnsi="Verdana"/>
                <w:color w:val="000000"/>
              </w:rPr>
              <w:t>Tasigna</w:t>
            </w:r>
            <w:proofErr w:type="spellEnd"/>
            <w:r w:rsidRPr="00C61183">
              <w:rPr>
                <w:rFonts w:ascii="Verdana" w:hAnsi="Verdana"/>
                <w:color w:val="000000"/>
              </w:rPr>
              <w:t xml:space="preserve"> (n</w:t>
            </w:r>
            <w:r w:rsidRPr="00C61183">
              <w:rPr>
                <w:rFonts w:ascii="Verdana" w:hAnsi="Verdana"/>
                <w:b/>
                <w:bCs/>
                <w:color w:val="000000"/>
              </w:rPr>
              <w:t>ilotinib</w:t>
            </w:r>
            <w:r w:rsidRPr="00C61183">
              <w:rPr>
                <w:rFonts w:ascii="Verdana" w:hAnsi="Verdana"/>
                <w:color w:val="000000"/>
              </w:rPr>
              <w:t>) 50, 150, &amp; 200 mg capsules for Philadelphia chromosome positive chronic myeloid leukemia</w:t>
            </w:r>
          </w:p>
          <w:p w14:paraId="1A12B963" w14:textId="094C6C31" w:rsidR="000C6EF5" w:rsidRPr="006547A2" w:rsidRDefault="000C6EF5" w:rsidP="000C6EF5">
            <w:pPr>
              <w:rPr>
                <w:rFonts w:ascii="Verdana" w:hAnsi="Verdana" w:cs="Arial"/>
              </w:rPr>
            </w:pPr>
          </w:p>
        </w:tc>
        <w:tc>
          <w:tcPr>
            <w:tcW w:w="4262" w:type="dxa"/>
            <w:shd w:val="clear" w:color="auto" w:fill="auto"/>
          </w:tcPr>
          <w:p w14:paraId="08556354" w14:textId="77777777" w:rsidR="000C6EF5" w:rsidRPr="00C61183" w:rsidRDefault="000C6EF5" w:rsidP="000C6EF5">
            <w:pPr>
              <w:rPr>
                <w:rFonts w:ascii="Verdana" w:hAnsi="Verdana"/>
              </w:rPr>
            </w:pPr>
            <w:r w:rsidRPr="00C61183">
              <w:rPr>
                <w:rFonts w:ascii="Verdana" w:hAnsi="Verdana"/>
              </w:rPr>
              <w:t xml:space="preserve">A new generic nilotinib has launched for all tablet strengths at a 5% (AWP) to 9% (WAC) discount to the branded agent. </w:t>
            </w:r>
          </w:p>
          <w:p w14:paraId="5B5EBAC5" w14:textId="05758A6F" w:rsidR="000C6EF5" w:rsidRPr="006547A2" w:rsidRDefault="000C6EF5" w:rsidP="000C6EF5">
            <w:pPr>
              <w:rPr>
                <w:rFonts w:ascii="Verdana" w:hAnsi="Verdana"/>
              </w:rPr>
            </w:pPr>
          </w:p>
        </w:tc>
        <w:tc>
          <w:tcPr>
            <w:tcW w:w="4135" w:type="dxa"/>
            <w:shd w:val="clear" w:color="auto" w:fill="auto"/>
          </w:tcPr>
          <w:p w14:paraId="1501D246" w14:textId="77777777" w:rsidR="000C6EF5" w:rsidRPr="00974FC7" w:rsidRDefault="000C6EF5" w:rsidP="000C6EF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F: all lines of business</w:t>
            </w:r>
          </w:p>
          <w:p w14:paraId="5C2FED0F" w14:textId="77777777" w:rsidR="000C6EF5" w:rsidRPr="006547A2" w:rsidRDefault="000C6EF5" w:rsidP="000C6EF5">
            <w:pPr>
              <w:rPr>
                <w:rFonts w:ascii="Verdana" w:hAnsi="Verdana"/>
              </w:rPr>
            </w:pPr>
          </w:p>
        </w:tc>
      </w:tr>
      <w:tr w:rsidR="000C6EF5" w:rsidRPr="006547A2" w14:paraId="5BFD520E" w14:textId="77777777" w:rsidTr="001C6EB3">
        <w:tc>
          <w:tcPr>
            <w:tcW w:w="2520" w:type="dxa"/>
            <w:shd w:val="clear" w:color="auto" w:fill="auto"/>
          </w:tcPr>
          <w:p w14:paraId="360354BF" w14:textId="77777777" w:rsidR="000C6EF5" w:rsidRPr="00C61183" w:rsidRDefault="000C6EF5" w:rsidP="000C6EF5">
            <w:pPr>
              <w:rPr>
                <w:rFonts w:ascii="Verdana" w:hAnsi="Verdana"/>
                <w:color w:val="000000"/>
              </w:rPr>
            </w:pPr>
            <w:proofErr w:type="spellStart"/>
            <w:r w:rsidRPr="00C61183">
              <w:rPr>
                <w:rFonts w:ascii="Verdana" w:hAnsi="Verdana"/>
                <w:b/>
                <w:bCs/>
                <w:color w:val="000000"/>
              </w:rPr>
              <w:t>Merilog</w:t>
            </w:r>
            <w:proofErr w:type="spellEnd"/>
            <w:r w:rsidRPr="00C61183">
              <w:rPr>
                <w:rFonts w:ascii="Verdana" w:hAnsi="Verdana"/>
                <w:color w:val="000000"/>
              </w:rPr>
              <w:t xml:space="preserve"> (insulin </w:t>
            </w:r>
            <w:proofErr w:type="spellStart"/>
            <w:r w:rsidRPr="00C61183">
              <w:rPr>
                <w:rFonts w:ascii="Verdana" w:hAnsi="Verdana"/>
                <w:color w:val="000000"/>
              </w:rPr>
              <w:t>aspart-szjj</w:t>
            </w:r>
            <w:proofErr w:type="spellEnd"/>
            <w:r w:rsidRPr="00C61183">
              <w:rPr>
                <w:rFonts w:ascii="Verdana" w:hAnsi="Verdana"/>
                <w:color w:val="000000"/>
              </w:rPr>
              <w:t>) 100</w:t>
            </w:r>
          </w:p>
          <w:p w14:paraId="38D6F1B0" w14:textId="77777777" w:rsidR="000C6EF5" w:rsidRPr="00C61183" w:rsidRDefault="000C6EF5" w:rsidP="000C6EF5">
            <w:pPr>
              <w:rPr>
                <w:rFonts w:ascii="Verdana" w:hAnsi="Verdana"/>
                <w:color w:val="000000"/>
              </w:rPr>
            </w:pPr>
            <w:r w:rsidRPr="00C61183">
              <w:rPr>
                <w:rFonts w:ascii="Verdana" w:hAnsi="Verdana"/>
                <w:color w:val="000000"/>
              </w:rPr>
              <w:t>unit/mL pens &amp; vials</w:t>
            </w:r>
          </w:p>
          <w:p w14:paraId="2902BFA9" w14:textId="77777777" w:rsidR="000C6EF5" w:rsidRPr="00C61183" w:rsidRDefault="000C6EF5" w:rsidP="000C6EF5">
            <w:pPr>
              <w:rPr>
                <w:rFonts w:ascii="Verdana" w:hAnsi="Verdana"/>
                <w:color w:val="000000"/>
              </w:rPr>
            </w:pPr>
            <w:r w:rsidRPr="00C61183">
              <w:rPr>
                <w:rFonts w:ascii="Verdana" w:hAnsi="Verdana"/>
                <w:color w:val="000000"/>
              </w:rPr>
              <w:t>(Novolog biosimilar)</w:t>
            </w:r>
          </w:p>
          <w:p w14:paraId="008BA9B7" w14:textId="53DF3930" w:rsidR="000C6EF5" w:rsidRPr="006547A2" w:rsidRDefault="000C6EF5" w:rsidP="000C6EF5">
            <w:pPr>
              <w:rPr>
                <w:rFonts w:ascii="Verdana" w:hAnsi="Verdana" w:cs="Arial"/>
              </w:rPr>
            </w:pPr>
          </w:p>
        </w:tc>
        <w:tc>
          <w:tcPr>
            <w:tcW w:w="4262" w:type="dxa"/>
            <w:shd w:val="clear" w:color="auto" w:fill="auto"/>
          </w:tcPr>
          <w:p w14:paraId="656D249E" w14:textId="77777777" w:rsidR="000C6EF5" w:rsidRPr="00C61183" w:rsidRDefault="000C6EF5" w:rsidP="000C6EF5">
            <w:pPr>
              <w:rPr>
                <w:rFonts w:ascii="Verdana" w:hAnsi="Verdana"/>
              </w:rPr>
            </w:pPr>
            <w:r w:rsidRPr="00C61183">
              <w:rPr>
                <w:rFonts w:ascii="Verdana" w:hAnsi="Verdana"/>
              </w:rPr>
              <w:t xml:space="preserve">A biosimilar insulin </w:t>
            </w:r>
            <w:proofErr w:type="spellStart"/>
            <w:r w:rsidRPr="00C61183">
              <w:rPr>
                <w:rFonts w:ascii="Verdana" w:hAnsi="Verdana"/>
              </w:rPr>
              <w:t>aspart</w:t>
            </w:r>
            <w:proofErr w:type="spellEnd"/>
            <w:r w:rsidRPr="00C61183">
              <w:rPr>
                <w:rFonts w:ascii="Verdana" w:hAnsi="Verdana"/>
              </w:rPr>
              <w:t xml:space="preserve"> product has launched in </w:t>
            </w:r>
            <w:proofErr w:type="spellStart"/>
            <w:r w:rsidRPr="00C61183">
              <w:rPr>
                <w:rFonts w:ascii="Verdana" w:hAnsi="Verdana"/>
              </w:rPr>
              <w:t>Merilog</w:t>
            </w:r>
            <w:proofErr w:type="spellEnd"/>
            <w:r w:rsidRPr="00C61183">
              <w:rPr>
                <w:rFonts w:ascii="Verdana" w:hAnsi="Verdana"/>
              </w:rPr>
              <w:t>.</w:t>
            </w:r>
          </w:p>
          <w:p w14:paraId="08FA9272" w14:textId="78AE59BD" w:rsidR="000C6EF5" w:rsidRPr="006547A2" w:rsidRDefault="000C6EF5" w:rsidP="000C6EF5">
            <w:pPr>
              <w:rPr>
                <w:rFonts w:ascii="Verdana" w:hAnsi="Verdana"/>
              </w:rPr>
            </w:pPr>
          </w:p>
        </w:tc>
        <w:tc>
          <w:tcPr>
            <w:tcW w:w="4135" w:type="dxa"/>
            <w:shd w:val="clear" w:color="auto" w:fill="auto"/>
          </w:tcPr>
          <w:p w14:paraId="0FD0E567" w14:textId="2E00371B" w:rsidR="000C6EF5" w:rsidRPr="006547A2" w:rsidRDefault="000C6EF5" w:rsidP="000C6EF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NF: all lines of business</w:t>
            </w:r>
          </w:p>
        </w:tc>
      </w:tr>
      <w:tr w:rsidR="000C6EF5" w:rsidRPr="006547A2" w14:paraId="1EE88C20" w14:textId="77777777" w:rsidTr="001C6EB3">
        <w:tc>
          <w:tcPr>
            <w:tcW w:w="2520" w:type="dxa"/>
            <w:shd w:val="clear" w:color="auto" w:fill="auto"/>
          </w:tcPr>
          <w:p w14:paraId="638DA9F5" w14:textId="77777777" w:rsidR="000C6EF5" w:rsidRPr="00C61183" w:rsidRDefault="000C6EF5" w:rsidP="000C6EF5">
            <w:pPr>
              <w:rPr>
                <w:rFonts w:ascii="Verdana" w:hAnsi="Verdana"/>
                <w:color w:val="000000"/>
              </w:rPr>
            </w:pPr>
            <w:proofErr w:type="spellStart"/>
            <w:r w:rsidRPr="00C61183">
              <w:rPr>
                <w:rFonts w:ascii="Verdana" w:hAnsi="Verdana"/>
                <w:color w:val="000000"/>
              </w:rPr>
              <w:t>Fycompa</w:t>
            </w:r>
            <w:proofErr w:type="spellEnd"/>
            <w:r w:rsidRPr="00C61183">
              <w:rPr>
                <w:rFonts w:ascii="Verdana" w:hAnsi="Verdana"/>
                <w:color w:val="000000"/>
              </w:rPr>
              <w:t xml:space="preserve"> (</w:t>
            </w:r>
            <w:proofErr w:type="spellStart"/>
            <w:r w:rsidRPr="00C61183">
              <w:rPr>
                <w:rFonts w:ascii="Verdana" w:hAnsi="Verdana"/>
                <w:b/>
                <w:bCs/>
                <w:color w:val="000000"/>
              </w:rPr>
              <w:t>perampanel</w:t>
            </w:r>
            <w:proofErr w:type="spellEnd"/>
            <w:r w:rsidRPr="00C61183">
              <w:rPr>
                <w:rFonts w:ascii="Verdana" w:hAnsi="Verdana"/>
                <w:color w:val="000000"/>
              </w:rPr>
              <w:t>) 2, 4, 6, 8,</w:t>
            </w:r>
            <w:r>
              <w:rPr>
                <w:rFonts w:ascii="Verdana" w:hAnsi="Verdana"/>
                <w:color w:val="000000"/>
              </w:rPr>
              <w:t xml:space="preserve"> </w:t>
            </w:r>
            <w:r w:rsidRPr="00C61183">
              <w:rPr>
                <w:rFonts w:ascii="Verdana" w:hAnsi="Verdana"/>
                <w:color w:val="000000"/>
              </w:rPr>
              <w:t>10, &amp; 12 mg tablets for epilepsy</w:t>
            </w:r>
          </w:p>
          <w:p w14:paraId="347F1E2C" w14:textId="35A1D8C7" w:rsidR="000C6EF5" w:rsidRPr="006547A2" w:rsidRDefault="000C6EF5" w:rsidP="000C6EF5">
            <w:pPr>
              <w:rPr>
                <w:rFonts w:ascii="Verdana" w:hAnsi="Verdana" w:cs="Arial"/>
              </w:rPr>
            </w:pPr>
          </w:p>
        </w:tc>
        <w:tc>
          <w:tcPr>
            <w:tcW w:w="4262" w:type="dxa"/>
            <w:shd w:val="clear" w:color="auto" w:fill="auto"/>
          </w:tcPr>
          <w:p w14:paraId="68574F41" w14:textId="77777777" w:rsidR="000C6EF5" w:rsidRPr="00C61183" w:rsidRDefault="000C6EF5" w:rsidP="000C6EF5">
            <w:pPr>
              <w:rPr>
                <w:rFonts w:ascii="Verdana" w:hAnsi="Verdana"/>
              </w:rPr>
            </w:pPr>
            <w:r w:rsidRPr="00C61183">
              <w:rPr>
                <w:rFonts w:ascii="Verdana" w:hAnsi="Verdana"/>
              </w:rPr>
              <w:t xml:space="preserve">A generic </w:t>
            </w:r>
            <w:proofErr w:type="spellStart"/>
            <w:r w:rsidRPr="00C61183">
              <w:rPr>
                <w:rFonts w:ascii="Verdana" w:hAnsi="Verdana"/>
              </w:rPr>
              <w:t>perampanel</w:t>
            </w:r>
            <w:proofErr w:type="spellEnd"/>
            <w:r w:rsidRPr="00C61183">
              <w:rPr>
                <w:rFonts w:ascii="Verdana" w:hAnsi="Verdana"/>
              </w:rPr>
              <w:t xml:space="preserve"> (</w:t>
            </w:r>
            <w:proofErr w:type="spellStart"/>
            <w:r w:rsidRPr="00C61183">
              <w:rPr>
                <w:rFonts w:ascii="Verdana" w:hAnsi="Verdana"/>
              </w:rPr>
              <w:t>Fycompa</w:t>
            </w:r>
            <w:proofErr w:type="spellEnd"/>
            <w:r w:rsidRPr="00C61183">
              <w:rPr>
                <w:rFonts w:ascii="Verdana" w:hAnsi="Verdana"/>
              </w:rPr>
              <w:t xml:space="preserve"> </w:t>
            </w:r>
            <w:proofErr w:type="spellStart"/>
            <w:r w:rsidRPr="00C61183">
              <w:rPr>
                <w:rFonts w:ascii="Verdana" w:hAnsi="Verdana"/>
              </w:rPr>
              <w:t>equiv</w:t>
            </w:r>
            <w:proofErr w:type="spellEnd"/>
            <w:r w:rsidRPr="00C61183">
              <w:rPr>
                <w:rFonts w:ascii="Verdana" w:hAnsi="Verdana"/>
              </w:rPr>
              <w:t>) product has launched at a 13% discount to the brand product.</w:t>
            </w:r>
          </w:p>
          <w:p w14:paraId="0BB53CB4" w14:textId="109ADCFC" w:rsidR="000C6EF5" w:rsidRPr="006547A2" w:rsidRDefault="000C6EF5" w:rsidP="000C6EF5">
            <w:pPr>
              <w:rPr>
                <w:rFonts w:ascii="Verdana" w:hAnsi="Verdana"/>
              </w:rPr>
            </w:pPr>
          </w:p>
        </w:tc>
        <w:tc>
          <w:tcPr>
            <w:tcW w:w="4135" w:type="dxa"/>
            <w:shd w:val="clear" w:color="auto" w:fill="auto"/>
          </w:tcPr>
          <w:p w14:paraId="495C20BC" w14:textId="77777777" w:rsidR="000C6EF5" w:rsidRPr="00C61183" w:rsidRDefault="000C6EF5" w:rsidP="000C6EF5">
            <w:pPr>
              <w:tabs>
                <w:tab w:val="left" w:pos="930"/>
              </w:tabs>
              <w:rPr>
                <w:rFonts w:ascii="Verdana" w:hAnsi="Verdana"/>
              </w:rPr>
            </w:pPr>
            <w:r w:rsidRPr="00C61183">
              <w:rPr>
                <w:rFonts w:ascii="Verdana" w:hAnsi="Verdana"/>
              </w:rPr>
              <w:t>NF: IFP, MA</w:t>
            </w:r>
          </w:p>
          <w:p w14:paraId="6E60A60F" w14:textId="470D2E9D" w:rsidR="000C6EF5" w:rsidRPr="00C61183" w:rsidRDefault="000C6EF5" w:rsidP="000C6EF5">
            <w:pPr>
              <w:tabs>
                <w:tab w:val="left" w:pos="930"/>
              </w:tabs>
              <w:rPr>
                <w:rFonts w:ascii="Verdana" w:hAnsi="Verdana"/>
              </w:rPr>
            </w:pPr>
            <w:r w:rsidRPr="00C61183">
              <w:rPr>
                <w:rFonts w:ascii="Verdana" w:hAnsi="Verdana"/>
              </w:rPr>
              <w:t>F: Med</w:t>
            </w:r>
            <w:r>
              <w:rPr>
                <w:rFonts w:ascii="Verdana" w:hAnsi="Verdana"/>
              </w:rPr>
              <w:t>icare</w:t>
            </w:r>
            <w:r w:rsidRPr="00C61183">
              <w:rPr>
                <w:rFonts w:ascii="Verdana" w:hAnsi="Verdana"/>
              </w:rPr>
              <w:t>, PPO</w:t>
            </w:r>
          </w:p>
          <w:p w14:paraId="42E67A24" w14:textId="26092EFB" w:rsidR="000C6EF5" w:rsidRPr="006547A2" w:rsidRDefault="000C6EF5" w:rsidP="000C6EF5">
            <w:pPr>
              <w:rPr>
                <w:rFonts w:ascii="Verdana" w:hAnsi="Verdana"/>
              </w:rPr>
            </w:pPr>
          </w:p>
        </w:tc>
      </w:tr>
      <w:tr w:rsidR="000C6EF5" w:rsidRPr="006547A2" w14:paraId="7C515A9A" w14:textId="77777777" w:rsidTr="001C6EB3">
        <w:tc>
          <w:tcPr>
            <w:tcW w:w="2520" w:type="dxa"/>
            <w:shd w:val="clear" w:color="auto" w:fill="auto"/>
          </w:tcPr>
          <w:p w14:paraId="68BC90D9" w14:textId="77777777" w:rsidR="000C6EF5" w:rsidRPr="00C61183" w:rsidRDefault="000C6EF5" w:rsidP="000C6EF5">
            <w:pPr>
              <w:rPr>
                <w:rFonts w:ascii="Verdana" w:hAnsi="Verdana"/>
                <w:color w:val="000000"/>
              </w:rPr>
            </w:pPr>
            <w:r w:rsidRPr="00C61183">
              <w:rPr>
                <w:rFonts w:ascii="Verdana" w:hAnsi="Verdana"/>
                <w:color w:val="000000"/>
              </w:rPr>
              <w:t>Xarelto (</w:t>
            </w:r>
            <w:r w:rsidRPr="00C61183">
              <w:rPr>
                <w:rFonts w:ascii="Verdana" w:hAnsi="Verdana"/>
                <w:b/>
                <w:bCs/>
                <w:color w:val="000000"/>
              </w:rPr>
              <w:t>rivaroxaban</w:t>
            </w:r>
            <w:r w:rsidRPr="00C61183">
              <w:rPr>
                <w:rFonts w:ascii="Verdana" w:hAnsi="Verdana"/>
                <w:color w:val="000000"/>
              </w:rPr>
              <w:t>) 1 mg/mL</w:t>
            </w:r>
          </w:p>
          <w:p w14:paraId="250DCF0B" w14:textId="77777777" w:rsidR="000C6EF5" w:rsidRPr="00C61183" w:rsidRDefault="000C6EF5" w:rsidP="000C6EF5">
            <w:pPr>
              <w:rPr>
                <w:rFonts w:ascii="Verdana" w:hAnsi="Verdana"/>
                <w:color w:val="000000"/>
              </w:rPr>
            </w:pPr>
            <w:r w:rsidRPr="00C61183">
              <w:rPr>
                <w:rFonts w:ascii="Verdana" w:hAnsi="Verdana"/>
                <w:color w:val="000000"/>
              </w:rPr>
              <w:t>oral suspension for</w:t>
            </w:r>
          </w:p>
          <w:p w14:paraId="1DCC964A" w14:textId="77777777" w:rsidR="000C6EF5" w:rsidRPr="00C61183" w:rsidRDefault="000C6EF5" w:rsidP="000C6EF5">
            <w:pPr>
              <w:rPr>
                <w:rFonts w:ascii="Verdana" w:hAnsi="Verdana"/>
                <w:color w:val="000000"/>
              </w:rPr>
            </w:pPr>
            <w:r w:rsidRPr="00C61183">
              <w:rPr>
                <w:rFonts w:ascii="Verdana" w:hAnsi="Verdana"/>
                <w:color w:val="000000"/>
              </w:rPr>
              <w:t>anticoagulation</w:t>
            </w:r>
          </w:p>
          <w:p w14:paraId="612B53F0" w14:textId="1D062B2D" w:rsidR="000C6EF5" w:rsidRPr="006547A2" w:rsidRDefault="000C6EF5" w:rsidP="000C6EF5">
            <w:pPr>
              <w:rPr>
                <w:rFonts w:ascii="Verdana" w:hAnsi="Verdana" w:cs="Arial"/>
              </w:rPr>
            </w:pPr>
          </w:p>
        </w:tc>
        <w:tc>
          <w:tcPr>
            <w:tcW w:w="4262" w:type="dxa"/>
            <w:shd w:val="clear" w:color="auto" w:fill="auto"/>
          </w:tcPr>
          <w:p w14:paraId="699FDF2B" w14:textId="77777777" w:rsidR="000C6EF5" w:rsidRPr="00C61183" w:rsidRDefault="000C6EF5" w:rsidP="000C6EF5">
            <w:pPr>
              <w:rPr>
                <w:rFonts w:ascii="Verdana" w:hAnsi="Verdana"/>
              </w:rPr>
            </w:pPr>
            <w:r w:rsidRPr="00C61183">
              <w:rPr>
                <w:rFonts w:ascii="Verdana" w:hAnsi="Verdana"/>
              </w:rPr>
              <w:t xml:space="preserve">Rivaroxaban 1 mg/mL oral suspension recently launched. </w:t>
            </w:r>
            <w:proofErr w:type="gramStart"/>
            <w:r w:rsidRPr="00C61183">
              <w:rPr>
                <w:rFonts w:ascii="Verdana" w:hAnsi="Verdana"/>
              </w:rPr>
              <w:t>Similar to</w:t>
            </w:r>
            <w:proofErr w:type="gramEnd"/>
            <w:r w:rsidRPr="00C61183">
              <w:rPr>
                <w:rFonts w:ascii="Verdana" w:hAnsi="Verdana"/>
              </w:rPr>
              <w:t xml:space="preserve"> the generic 2.5 mg oral tablets, brand Xarelto coverage will be maintained to continue to qualify for rebates on more common and still brand-only strengths</w:t>
            </w:r>
          </w:p>
          <w:p w14:paraId="563FF88D" w14:textId="143517A7" w:rsidR="000C6EF5" w:rsidRPr="006547A2" w:rsidRDefault="000C6EF5" w:rsidP="000C6EF5">
            <w:pPr>
              <w:rPr>
                <w:rFonts w:ascii="Verdana" w:hAnsi="Verdana"/>
              </w:rPr>
            </w:pPr>
          </w:p>
        </w:tc>
        <w:tc>
          <w:tcPr>
            <w:tcW w:w="4135" w:type="dxa"/>
            <w:shd w:val="clear" w:color="auto" w:fill="auto"/>
          </w:tcPr>
          <w:p w14:paraId="038BEA8A" w14:textId="77777777" w:rsidR="000C6EF5" w:rsidRPr="00C61183" w:rsidRDefault="000C6EF5" w:rsidP="000C6EF5">
            <w:pPr>
              <w:rPr>
                <w:rFonts w:ascii="Verdana" w:hAnsi="Verdana"/>
              </w:rPr>
            </w:pPr>
            <w:r w:rsidRPr="00C61183">
              <w:rPr>
                <w:rFonts w:ascii="Verdana" w:hAnsi="Verdana"/>
              </w:rPr>
              <w:t>F: IFP</w:t>
            </w:r>
          </w:p>
          <w:p w14:paraId="29B15E84" w14:textId="6816BDD6" w:rsidR="000C6EF5" w:rsidRPr="00C61183" w:rsidRDefault="000C6EF5" w:rsidP="000C6EF5">
            <w:pPr>
              <w:rPr>
                <w:rFonts w:ascii="Verdana" w:hAnsi="Verdana"/>
              </w:rPr>
            </w:pPr>
            <w:r w:rsidRPr="00C61183">
              <w:rPr>
                <w:rFonts w:ascii="Verdana" w:hAnsi="Verdana"/>
              </w:rPr>
              <w:t>NF: Med</w:t>
            </w:r>
            <w:r>
              <w:rPr>
                <w:rFonts w:ascii="Verdana" w:hAnsi="Verdana"/>
              </w:rPr>
              <w:t>icare</w:t>
            </w:r>
            <w:r w:rsidRPr="00C61183">
              <w:rPr>
                <w:rFonts w:ascii="Verdana" w:hAnsi="Verdana"/>
              </w:rPr>
              <w:t>, PPO, MA</w:t>
            </w:r>
          </w:p>
          <w:p w14:paraId="6F2F154F" w14:textId="372E3AA0" w:rsidR="000C6EF5" w:rsidRPr="006547A2" w:rsidRDefault="000C6EF5" w:rsidP="000C6EF5">
            <w:pPr>
              <w:rPr>
                <w:rFonts w:ascii="Verdana" w:hAnsi="Verdana"/>
              </w:rPr>
            </w:pPr>
          </w:p>
        </w:tc>
      </w:tr>
      <w:tr w:rsidR="000C6EF5" w:rsidRPr="006547A2" w14:paraId="0A55F13E" w14:textId="77777777" w:rsidTr="001C6EB3">
        <w:tc>
          <w:tcPr>
            <w:tcW w:w="2520" w:type="dxa"/>
            <w:shd w:val="clear" w:color="auto" w:fill="auto"/>
          </w:tcPr>
          <w:p w14:paraId="317F6754" w14:textId="77777777" w:rsidR="000C6EF5" w:rsidRPr="00C61183" w:rsidRDefault="000C6EF5" w:rsidP="000C6EF5">
            <w:pPr>
              <w:rPr>
                <w:rFonts w:ascii="Verdana" w:hAnsi="Verdana"/>
                <w:color w:val="000000"/>
              </w:rPr>
            </w:pPr>
            <w:proofErr w:type="spellStart"/>
            <w:r w:rsidRPr="00C61183">
              <w:rPr>
                <w:rFonts w:ascii="Verdana" w:hAnsi="Verdana"/>
                <w:color w:val="000000"/>
              </w:rPr>
              <w:t>Eprontia</w:t>
            </w:r>
            <w:proofErr w:type="spellEnd"/>
            <w:r w:rsidRPr="00C61183">
              <w:rPr>
                <w:rFonts w:ascii="Verdana" w:hAnsi="Verdana"/>
                <w:color w:val="000000"/>
              </w:rPr>
              <w:t xml:space="preserve"> (</w:t>
            </w:r>
            <w:r w:rsidRPr="00C61183">
              <w:rPr>
                <w:rFonts w:ascii="Verdana" w:hAnsi="Verdana"/>
                <w:b/>
                <w:bCs/>
                <w:color w:val="000000"/>
              </w:rPr>
              <w:t>topiramate</w:t>
            </w:r>
            <w:r w:rsidRPr="00C61183">
              <w:rPr>
                <w:rFonts w:ascii="Verdana" w:hAnsi="Verdana"/>
                <w:color w:val="000000"/>
              </w:rPr>
              <w:t xml:space="preserve">) 25 </w:t>
            </w:r>
            <w:r w:rsidRPr="00C61183">
              <w:rPr>
                <w:rFonts w:ascii="Verdana" w:hAnsi="Verdana"/>
                <w:color w:val="000000"/>
              </w:rPr>
              <w:lastRenderedPageBreak/>
              <w:t>mg/mL</w:t>
            </w:r>
            <w:r>
              <w:rPr>
                <w:rFonts w:ascii="Verdana" w:hAnsi="Verdana"/>
                <w:color w:val="000000"/>
              </w:rPr>
              <w:t xml:space="preserve"> </w:t>
            </w:r>
            <w:r w:rsidRPr="00C61183">
              <w:rPr>
                <w:rFonts w:ascii="Verdana" w:hAnsi="Verdana"/>
                <w:color w:val="000000"/>
              </w:rPr>
              <w:t>oral solution for epilepsy &amp; migraine</w:t>
            </w:r>
          </w:p>
          <w:p w14:paraId="0E858EE4" w14:textId="458CE74B" w:rsidR="000C6EF5" w:rsidRPr="00135AD4" w:rsidRDefault="000C6EF5" w:rsidP="000C6EF5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4262" w:type="dxa"/>
            <w:shd w:val="clear" w:color="auto" w:fill="auto"/>
          </w:tcPr>
          <w:p w14:paraId="24F5EF5E" w14:textId="77777777" w:rsidR="000C6EF5" w:rsidRPr="00C61183" w:rsidRDefault="000C6EF5" w:rsidP="000C6EF5">
            <w:pPr>
              <w:rPr>
                <w:rFonts w:ascii="Verdana" w:hAnsi="Verdana"/>
              </w:rPr>
            </w:pPr>
            <w:r w:rsidRPr="00C61183">
              <w:rPr>
                <w:rFonts w:ascii="Verdana" w:hAnsi="Verdana"/>
              </w:rPr>
              <w:lastRenderedPageBreak/>
              <w:t xml:space="preserve">A generic topiramate 25 mg/mL oral solution has launched. </w:t>
            </w:r>
          </w:p>
          <w:p w14:paraId="34C78790" w14:textId="10B331DF" w:rsidR="000C6EF5" w:rsidRPr="00135AD4" w:rsidRDefault="000C6EF5" w:rsidP="000C6EF5">
            <w:pPr>
              <w:rPr>
                <w:rFonts w:ascii="Verdana" w:hAnsi="Verdana"/>
              </w:rPr>
            </w:pPr>
          </w:p>
        </w:tc>
        <w:tc>
          <w:tcPr>
            <w:tcW w:w="4135" w:type="dxa"/>
            <w:shd w:val="clear" w:color="auto" w:fill="auto"/>
          </w:tcPr>
          <w:p w14:paraId="65A87323" w14:textId="66D6E604" w:rsidR="000C6EF5" w:rsidRDefault="000C6EF5" w:rsidP="000C6EF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NF: all lines of business</w:t>
            </w:r>
          </w:p>
        </w:tc>
      </w:tr>
      <w:tr w:rsidR="000C6EF5" w:rsidRPr="006547A2" w14:paraId="6A6BBFE8" w14:textId="77777777" w:rsidTr="001C6EB3">
        <w:tc>
          <w:tcPr>
            <w:tcW w:w="2520" w:type="dxa"/>
            <w:shd w:val="clear" w:color="auto" w:fill="auto"/>
          </w:tcPr>
          <w:p w14:paraId="5B2AFDA5" w14:textId="77777777" w:rsidR="000C6EF5" w:rsidRPr="00C61183" w:rsidRDefault="000C6EF5" w:rsidP="000C6EF5">
            <w:pPr>
              <w:rPr>
                <w:rFonts w:ascii="Verdana" w:hAnsi="Verdana"/>
                <w:color w:val="000000"/>
              </w:rPr>
            </w:pPr>
            <w:proofErr w:type="spellStart"/>
            <w:r w:rsidRPr="00C61183">
              <w:rPr>
                <w:rFonts w:ascii="Verdana" w:hAnsi="Verdana"/>
                <w:b/>
                <w:bCs/>
                <w:color w:val="000000"/>
              </w:rPr>
              <w:t>Imuldosa</w:t>
            </w:r>
            <w:proofErr w:type="spellEnd"/>
            <w:r w:rsidRPr="00C61183">
              <w:rPr>
                <w:rFonts w:ascii="Verdana" w:hAnsi="Verdana"/>
                <w:color w:val="000000"/>
              </w:rPr>
              <w:t xml:space="preserve"> (</w:t>
            </w:r>
            <w:proofErr w:type="spellStart"/>
            <w:r w:rsidRPr="00C61183">
              <w:rPr>
                <w:rFonts w:ascii="Verdana" w:hAnsi="Verdana"/>
                <w:color w:val="000000"/>
              </w:rPr>
              <w:t>ustekinumab-srlf</w:t>
            </w:r>
            <w:proofErr w:type="spellEnd"/>
            <w:r w:rsidRPr="00C61183">
              <w:rPr>
                <w:rFonts w:ascii="Verdana" w:hAnsi="Verdana"/>
                <w:color w:val="000000"/>
              </w:rPr>
              <w:t xml:space="preserve">) 45 mg/0.5mL PFS, 90 mg/mL PFS &amp; 130 mg/26 mL IV vial and </w:t>
            </w:r>
            <w:proofErr w:type="spellStart"/>
            <w:r w:rsidRPr="00C61183">
              <w:rPr>
                <w:rFonts w:ascii="Verdana" w:hAnsi="Verdana"/>
                <w:color w:val="000000"/>
              </w:rPr>
              <w:t>Pyzchiva</w:t>
            </w:r>
            <w:proofErr w:type="spellEnd"/>
            <w:r w:rsidRPr="00C61183">
              <w:rPr>
                <w:rFonts w:ascii="Verdana" w:hAnsi="Verdana"/>
                <w:color w:val="000000"/>
              </w:rPr>
              <w:t xml:space="preserve"> (</w:t>
            </w:r>
            <w:proofErr w:type="spellStart"/>
            <w:r w:rsidRPr="00C61183">
              <w:rPr>
                <w:rFonts w:ascii="Verdana" w:hAnsi="Verdana"/>
                <w:color w:val="000000"/>
              </w:rPr>
              <w:t>ustekinumab-ttwe</w:t>
            </w:r>
            <w:proofErr w:type="spellEnd"/>
            <w:r w:rsidRPr="00C61183">
              <w:rPr>
                <w:rFonts w:ascii="Verdana" w:hAnsi="Verdana"/>
                <w:color w:val="000000"/>
              </w:rPr>
              <w:t>) 45 mg/0.5 mL SQ vial for various</w:t>
            </w:r>
          </w:p>
          <w:p w14:paraId="1B519968" w14:textId="77777777" w:rsidR="000C6EF5" w:rsidRPr="00C61183" w:rsidRDefault="000C6EF5" w:rsidP="000C6EF5">
            <w:pPr>
              <w:rPr>
                <w:rFonts w:ascii="Verdana" w:hAnsi="Verdana"/>
                <w:color w:val="000000"/>
              </w:rPr>
            </w:pPr>
            <w:r w:rsidRPr="00C61183">
              <w:rPr>
                <w:rFonts w:ascii="Verdana" w:hAnsi="Verdana"/>
                <w:color w:val="000000"/>
              </w:rPr>
              <w:t>inflammatory conditions</w:t>
            </w:r>
          </w:p>
          <w:p w14:paraId="42687EB6" w14:textId="4991F353" w:rsidR="000C6EF5" w:rsidRPr="00135AD4" w:rsidRDefault="000C6EF5" w:rsidP="000C6EF5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4262" w:type="dxa"/>
            <w:shd w:val="clear" w:color="auto" w:fill="auto"/>
          </w:tcPr>
          <w:p w14:paraId="48715F29" w14:textId="77777777" w:rsidR="000C6EF5" w:rsidRPr="00C61183" w:rsidRDefault="000C6EF5" w:rsidP="000C6EF5">
            <w:pPr>
              <w:rPr>
                <w:rFonts w:ascii="Verdana" w:hAnsi="Verdana"/>
              </w:rPr>
            </w:pPr>
            <w:r w:rsidRPr="00C61183">
              <w:rPr>
                <w:rFonts w:ascii="Verdana" w:hAnsi="Verdana"/>
              </w:rPr>
              <w:t xml:space="preserve">Another </w:t>
            </w:r>
            <w:proofErr w:type="spellStart"/>
            <w:r w:rsidRPr="00C61183">
              <w:rPr>
                <w:rFonts w:ascii="Verdana" w:hAnsi="Verdana"/>
              </w:rPr>
              <w:t>ustekinumab</w:t>
            </w:r>
            <w:proofErr w:type="spellEnd"/>
            <w:r w:rsidRPr="00C61183">
              <w:rPr>
                <w:rFonts w:ascii="Verdana" w:hAnsi="Verdana"/>
              </w:rPr>
              <w:t xml:space="preserve"> biosimilar launched, </w:t>
            </w:r>
            <w:proofErr w:type="spellStart"/>
            <w:r w:rsidRPr="00C61183">
              <w:rPr>
                <w:rFonts w:ascii="Verdana" w:hAnsi="Verdana"/>
              </w:rPr>
              <w:t>Imuldosa</w:t>
            </w:r>
            <w:proofErr w:type="spellEnd"/>
            <w:r w:rsidRPr="00C61183">
              <w:rPr>
                <w:rFonts w:ascii="Verdana" w:hAnsi="Verdana"/>
              </w:rPr>
              <w:t xml:space="preserve">, by Accord biopharma. </w:t>
            </w:r>
            <w:proofErr w:type="spellStart"/>
            <w:r w:rsidRPr="00C61183">
              <w:rPr>
                <w:rFonts w:ascii="Verdana" w:hAnsi="Verdana"/>
              </w:rPr>
              <w:t>Imuldosa</w:t>
            </w:r>
            <w:proofErr w:type="spellEnd"/>
            <w:r w:rsidRPr="00C61183">
              <w:rPr>
                <w:rFonts w:ascii="Verdana" w:hAnsi="Verdana"/>
              </w:rPr>
              <w:t xml:space="preserve"> is available as a subcutaneous solution in a prefilled syringe and as a vial for intravenous use. A new biosimilar dosage form of </w:t>
            </w:r>
            <w:proofErr w:type="spellStart"/>
            <w:r w:rsidRPr="00C61183">
              <w:rPr>
                <w:rFonts w:ascii="Verdana" w:hAnsi="Verdana"/>
              </w:rPr>
              <w:t>Pyzchiva</w:t>
            </w:r>
            <w:proofErr w:type="spellEnd"/>
            <w:r w:rsidRPr="00C61183">
              <w:rPr>
                <w:rFonts w:ascii="Verdana" w:hAnsi="Verdana"/>
              </w:rPr>
              <w:t xml:space="preserve"> also launched, now as a vial for subcutaneous use. </w:t>
            </w:r>
          </w:p>
          <w:p w14:paraId="3DD1E163" w14:textId="77777777" w:rsidR="000C6EF5" w:rsidRPr="00135AD4" w:rsidRDefault="000C6EF5" w:rsidP="000C6EF5">
            <w:pPr>
              <w:rPr>
                <w:rFonts w:ascii="Verdana" w:hAnsi="Verdana"/>
              </w:rPr>
            </w:pPr>
          </w:p>
        </w:tc>
        <w:tc>
          <w:tcPr>
            <w:tcW w:w="4135" w:type="dxa"/>
            <w:shd w:val="clear" w:color="auto" w:fill="auto"/>
          </w:tcPr>
          <w:p w14:paraId="677941B3" w14:textId="77777777" w:rsidR="000C6EF5" w:rsidRPr="00C61183" w:rsidRDefault="000C6EF5" w:rsidP="000C6EF5">
            <w:pPr>
              <w:rPr>
                <w:rFonts w:ascii="Verdana" w:hAnsi="Verdana"/>
              </w:rPr>
            </w:pPr>
            <w:r w:rsidRPr="00C61183">
              <w:rPr>
                <w:rFonts w:ascii="Verdana" w:hAnsi="Verdana"/>
              </w:rPr>
              <w:t>NF: all lines of business</w:t>
            </w:r>
          </w:p>
          <w:p w14:paraId="37C06191" w14:textId="1539DA52" w:rsidR="000C6EF5" w:rsidRDefault="000C6EF5" w:rsidP="000C6EF5">
            <w:pPr>
              <w:rPr>
                <w:rFonts w:ascii="Verdana" w:hAnsi="Verdana"/>
              </w:rPr>
            </w:pPr>
          </w:p>
        </w:tc>
      </w:tr>
      <w:tr w:rsidR="000C6EF5" w:rsidRPr="006547A2" w14:paraId="590C5C4E" w14:textId="77777777" w:rsidTr="001C6EB3">
        <w:tc>
          <w:tcPr>
            <w:tcW w:w="2520" w:type="dxa"/>
            <w:shd w:val="clear" w:color="auto" w:fill="auto"/>
          </w:tcPr>
          <w:p w14:paraId="674A9AA8" w14:textId="77777777" w:rsidR="000C6EF5" w:rsidRPr="00C61183" w:rsidRDefault="000C6EF5" w:rsidP="000C6EF5">
            <w:pPr>
              <w:rPr>
                <w:rFonts w:ascii="Verdana" w:hAnsi="Verdana"/>
                <w:color w:val="000000"/>
              </w:rPr>
            </w:pPr>
            <w:proofErr w:type="spellStart"/>
            <w:r w:rsidRPr="00C61183">
              <w:rPr>
                <w:rFonts w:ascii="Verdana" w:hAnsi="Verdana"/>
                <w:b/>
                <w:bCs/>
                <w:color w:val="000000"/>
              </w:rPr>
              <w:t>Zepbound</w:t>
            </w:r>
            <w:proofErr w:type="spellEnd"/>
            <w:r w:rsidRPr="00C61183">
              <w:rPr>
                <w:rFonts w:ascii="Verdana" w:hAnsi="Verdana"/>
                <w:color w:val="000000"/>
              </w:rPr>
              <w:t xml:space="preserve"> (</w:t>
            </w:r>
            <w:proofErr w:type="spellStart"/>
            <w:r w:rsidRPr="00C61183">
              <w:rPr>
                <w:rFonts w:ascii="Verdana" w:hAnsi="Verdana"/>
                <w:color w:val="000000"/>
              </w:rPr>
              <w:t>tirzepatide</w:t>
            </w:r>
            <w:proofErr w:type="spellEnd"/>
            <w:r w:rsidRPr="00C61183">
              <w:rPr>
                <w:rFonts w:ascii="Verdana" w:hAnsi="Verdana"/>
                <w:color w:val="000000"/>
              </w:rPr>
              <w:t>) 12 mg/0.5 mL &amp; 15 mg/0.5 mL SQ vials for weight management</w:t>
            </w:r>
          </w:p>
          <w:p w14:paraId="2080C3C0" w14:textId="7F309123" w:rsidR="000C6EF5" w:rsidRPr="00135AD4" w:rsidRDefault="000C6EF5" w:rsidP="000C6EF5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4262" w:type="dxa"/>
            <w:shd w:val="clear" w:color="auto" w:fill="auto"/>
          </w:tcPr>
          <w:p w14:paraId="06E27133" w14:textId="36923940" w:rsidR="000C6EF5" w:rsidRPr="00135AD4" w:rsidRDefault="000C6EF5" w:rsidP="000C6EF5">
            <w:pPr>
              <w:rPr>
                <w:rFonts w:ascii="Verdana" w:hAnsi="Verdana"/>
              </w:rPr>
            </w:pPr>
            <w:r w:rsidRPr="00C61183">
              <w:rPr>
                <w:rFonts w:ascii="Verdana" w:hAnsi="Verdana"/>
              </w:rPr>
              <w:t xml:space="preserve">Two new </w:t>
            </w:r>
            <w:proofErr w:type="spellStart"/>
            <w:r w:rsidRPr="00C61183">
              <w:rPr>
                <w:rFonts w:ascii="Verdana" w:hAnsi="Verdana"/>
              </w:rPr>
              <w:t>tirzepatide</w:t>
            </w:r>
            <w:proofErr w:type="spellEnd"/>
            <w:r w:rsidRPr="00C61183">
              <w:rPr>
                <w:rFonts w:ascii="Verdana" w:hAnsi="Verdana"/>
              </w:rPr>
              <w:t xml:space="preserve"> strengths recently launched, with both subcutaneous solutions only having AWP pricing and only available through the manufacturer for self-pay patients and are not contracted for clients who include weight loss coverage.</w:t>
            </w:r>
          </w:p>
        </w:tc>
        <w:tc>
          <w:tcPr>
            <w:tcW w:w="4135" w:type="dxa"/>
            <w:shd w:val="clear" w:color="auto" w:fill="auto"/>
          </w:tcPr>
          <w:p w14:paraId="2DEA9009" w14:textId="18B911DD" w:rsidR="000C6EF5" w:rsidRPr="00C61183" w:rsidRDefault="000C6EF5" w:rsidP="000C6EF5">
            <w:pPr>
              <w:rPr>
                <w:rFonts w:ascii="Verdana" w:hAnsi="Verdana"/>
              </w:rPr>
            </w:pPr>
            <w:r w:rsidRPr="00C61183">
              <w:rPr>
                <w:rFonts w:ascii="Verdana" w:hAnsi="Verdana"/>
              </w:rPr>
              <w:t>NF: Med</w:t>
            </w:r>
            <w:r>
              <w:rPr>
                <w:rFonts w:ascii="Verdana" w:hAnsi="Verdana"/>
              </w:rPr>
              <w:t>icare</w:t>
            </w:r>
            <w:r w:rsidRPr="00C61183">
              <w:rPr>
                <w:rFonts w:ascii="Verdana" w:hAnsi="Verdana"/>
              </w:rPr>
              <w:t>, PPO, IFP</w:t>
            </w:r>
          </w:p>
          <w:p w14:paraId="1AA47DB7" w14:textId="77777777" w:rsidR="000C6EF5" w:rsidRPr="00C61183" w:rsidRDefault="000C6EF5" w:rsidP="000C6EF5">
            <w:pPr>
              <w:rPr>
                <w:rFonts w:ascii="Verdana" w:hAnsi="Verdana"/>
              </w:rPr>
            </w:pPr>
            <w:r w:rsidRPr="00C61183">
              <w:rPr>
                <w:rFonts w:ascii="Verdana" w:hAnsi="Verdana"/>
              </w:rPr>
              <w:t>MA: NP</w:t>
            </w:r>
          </w:p>
          <w:p w14:paraId="381D59D7" w14:textId="617A5A64" w:rsidR="000C6EF5" w:rsidRDefault="000C6EF5" w:rsidP="000C6EF5">
            <w:pPr>
              <w:rPr>
                <w:rFonts w:ascii="Verdana" w:hAnsi="Verdana"/>
              </w:rPr>
            </w:pPr>
          </w:p>
        </w:tc>
      </w:tr>
      <w:tr w:rsidR="000C6EF5" w:rsidRPr="006547A2" w14:paraId="4651DAFA" w14:textId="77777777" w:rsidTr="001C6EB3">
        <w:tc>
          <w:tcPr>
            <w:tcW w:w="2520" w:type="dxa"/>
            <w:shd w:val="clear" w:color="auto" w:fill="auto"/>
          </w:tcPr>
          <w:p w14:paraId="3BB79F45" w14:textId="77777777" w:rsidR="000C6EF5" w:rsidRPr="00C61183" w:rsidRDefault="000C6EF5" w:rsidP="000C6EF5">
            <w:pPr>
              <w:rPr>
                <w:rFonts w:ascii="Verdana" w:hAnsi="Verdana"/>
                <w:color w:val="000000"/>
              </w:rPr>
            </w:pPr>
            <w:proofErr w:type="spellStart"/>
            <w:r w:rsidRPr="00C61183">
              <w:rPr>
                <w:rFonts w:ascii="Verdana" w:hAnsi="Verdana"/>
                <w:b/>
                <w:bCs/>
                <w:color w:val="000000"/>
              </w:rPr>
              <w:t>Carbzah</w:t>
            </w:r>
            <w:proofErr w:type="spellEnd"/>
            <w:r w:rsidRPr="00C61183">
              <w:rPr>
                <w:rFonts w:ascii="Verdana" w:hAnsi="Verdana"/>
                <w:color w:val="000000"/>
              </w:rPr>
              <w:t xml:space="preserve"> (carbinoxamine) 4 mg/5 mL oral solution for seasonal allergies</w:t>
            </w:r>
          </w:p>
          <w:p w14:paraId="4CFB49ED" w14:textId="77777777" w:rsidR="000C6EF5" w:rsidRPr="00C61183" w:rsidRDefault="000C6EF5" w:rsidP="000C6EF5">
            <w:pPr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4262" w:type="dxa"/>
            <w:shd w:val="clear" w:color="auto" w:fill="auto"/>
          </w:tcPr>
          <w:p w14:paraId="3B7807E5" w14:textId="77777777" w:rsidR="000C6EF5" w:rsidRPr="00C61183" w:rsidRDefault="000C6EF5" w:rsidP="000C6EF5">
            <w:pPr>
              <w:rPr>
                <w:rFonts w:ascii="Verdana" w:hAnsi="Verdana"/>
              </w:rPr>
            </w:pPr>
            <w:proofErr w:type="spellStart"/>
            <w:r w:rsidRPr="00C61183">
              <w:rPr>
                <w:rFonts w:ascii="Verdana" w:hAnsi="Verdana"/>
              </w:rPr>
              <w:t>Carbzah</w:t>
            </w:r>
            <w:proofErr w:type="spellEnd"/>
            <w:r w:rsidRPr="00C61183">
              <w:rPr>
                <w:rFonts w:ascii="Verdana" w:hAnsi="Verdana"/>
              </w:rPr>
              <w:t xml:space="preserve"> is a branded generic version of carbinoxamine solution. The price of this product is about 6X greater than the existing generics</w:t>
            </w:r>
          </w:p>
          <w:p w14:paraId="5F4FF0DF" w14:textId="77777777" w:rsidR="000C6EF5" w:rsidRPr="00C61183" w:rsidRDefault="000C6EF5" w:rsidP="000C6EF5">
            <w:pPr>
              <w:rPr>
                <w:rFonts w:ascii="Verdana" w:hAnsi="Verdana"/>
              </w:rPr>
            </w:pPr>
          </w:p>
        </w:tc>
        <w:tc>
          <w:tcPr>
            <w:tcW w:w="4135" w:type="dxa"/>
            <w:shd w:val="clear" w:color="auto" w:fill="auto"/>
          </w:tcPr>
          <w:p w14:paraId="5C85DDAA" w14:textId="77777777" w:rsidR="000C6EF5" w:rsidRPr="00974FC7" w:rsidRDefault="000C6EF5" w:rsidP="000C6EF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NF: all lines of business</w:t>
            </w:r>
          </w:p>
          <w:p w14:paraId="18D88ACF" w14:textId="77777777" w:rsidR="000C6EF5" w:rsidRPr="00C61183" w:rsidRDefault="000C6EF5" w:rsidP="000C6EF5">
            <w:pPr>
              <w:rPr>
                <w:rFonts w:ascii="Verdana" w:hAnsi="Verdana"/>
              </w:rPr>
            </w:pPr>
          </w:p>
        </w:tc>
      </w:tr>
      <w:tr w:rsidR="000C6EF5" w:rsidRPr="006547A2" w14:paraId="4B5D576F" w14:textId="77777777" w:rsidTr="001C6EB3">
        <w:tc>
          <w:tcPr>
            <w:tcW w:w="2520" w:type="dxa"/>
            <w:shd w:val="clear" w:color="auto" w:fill="auto"/>
          </w:tcPr>
          <w:p w14:paraId="0A170DCD" w14:textId="77777777" w:rsidR="000C6EF5" w:rsidRPr="00C61183" w:rsidRDefault="000C6EF5" w:rsidP="000C6EF5">
            <w:pPr>
              <w:rPr>
                <w:rFonts w:ascii="Verdana" w:hAnsi="Verdana"/>
                <w:color w:val="000000"/>
              </w:rPr>
            </w:pPr>
            <w:proofErr w:type="spellStart"/>
            <w:r w:rsidRPr="00C61183">
              <w:rPr>
                <w:rFonts w:ascii="Verdana" w:hAnsi="Verdana"/>
                <w:color w:val="000000"/>
              </w:rPr>
              <w:t>Dificid</w:t>
            </w:r>
            <w:proofErr w:type="spellEnd"/>
            <w:r w:rsidRPr="00C61183">
              <w:rPr>
                <w:rFonts w:ascii="Verdana" w:hAnsi="Verdana"/>
                <w:color w:val="000000"/>
              </w:rPr>
              <w:t xml:space="preserve"> (</w:t>
            </w:r>
            <w:r w:rsidRPr="00C61183">
              <w:rPr>
                <w:rFonts w:ascii="Verdana" w:hAnsi="Verdana"/>
                <w:b/>
                <w:bCs/>
                <w:color w:val="000000"/>
              </w:rPr>
              <w:t>fidaxomicin</w:t>
            </w:r>
            <w:r w:rsidRPr="00C61183">
              <w:rPr>
                <w:rFonts w:ascii="Verdana" w:hAnsi="Verdana"/>
                <w:color w:val="000000"/>
              </w:rPr>
              <w:t xml:space="preserve">) 200 mg tablets for </w:t>
            </w:r>
            <w:proofErr w:type="spellStart"/>
            <w:r w:rsidRPr="00C61183">
              <w:rPr>
                <w:rFonts w:ascii="Verdana" w:hAnsi="Verdana"/>
                <w:color w:val="000000"/>
              </w:rPr>
              <w:t>Clostridioides</w:t>
            </w:r>
            <w:proofErr w:type="spellEnd"/>
            <w:r w:rsidRPr="00C61183">
              <w:rPr>
                <w:rFonts w:ascii="Verdana" w:hAnsi="Verdana"/>
                <w:color w:val="000000"/>
              </w:rPr>
              <w:t xml:space="preserve"> difficile-associated diarrhea</w:t>
            </w:r>
          </w:p>
          <w:p w14:paraId="7D06F526" w14:textId="77777777" w:rsidR="000C6EF5" w:rsidRPr="00C61183" w:rsidRDefault="000C6EF5" w:rsidP="000C6EF5">
            <w:pPr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4262" w:type="dxa"/>
            <w:shd w:val="clear" w:color="auto" w:fill="auto"/>
          </w:tcPr>
          <w:p w14:paraId="5A9060C0" w14:textId="77777777" w:rsidR="000C6EF5" w:rsidRPr="00C61183" w:rsidRDefault="000C6EF5" w:rsidP="000C6EF5">
            <w:pPr>
              <w:rPr>
                <w:rFonts w:ascii="Verdana" w:hAnsi="Verdana"/>
              </w:rPr>
            </w:pPr>
            <w:r w:rsidRPr="00C61183">
              <w:rPr>
                <w:rFonts w:ascii="Verdana" w:hAnsi="Verdana"/>
              </w:rPr>
              <w:t xml:space="preserve">Generic fidaxomicin recently launched. For Commercial/Exchange, </w:t>
            </w:r>
            <w:proofErr w:type="spellStart"/>
            <w:r w:rsidRPr="00C61183">
              <w:rPr>
                <w:rFonts w:ascii="Verdana" w:hAnsi="Verdana"/>
              </w:rPr>
              <w:t>Dificid</w:t>
            </w:r>
            <w:proofErr w:type="spellEnd"/>
            <w:r w:rsidRPr="00C61183">
              <w:rPr>
                <w:rFonts w:ascii="Verdana" w:hAnsi="Verdana"/>
              </w:rPr>
              <w:t xml:space="preserve"> is currently rebated with similar net cost to the generic. The brand rebate continues with the generic added at the same tier with the same utilization management.</w:t>
            </w:r>
          </w:p>
          <w:p w14:paraId="0EF7A539" w14:textId="77777777" w:rsidR="000C6EF5" w:rsidRPr="00C61183" w:rsidRDefault="000C6EF5" w:rsidP="000C6EF5">
            <w:pPr>
              <w:rPr>
                <w:rFonts w:ascii="Verdana" w:hAnsi="Verdana"/>
              </w:rPr>
            </w:pPr>
          </w:p>
        </w:tc>
        <w:tc>
          <w:tcPr>
            <w:tcW w:w="4135" w:type="dxa"/>
            <w:shd w:val="clear" w:color="auto" w:fill="auto"/>
          </w:tcPr>
          <w:p w14:paraId="13D20CD2" w14:textId="77777777" w:rsidR="000C6EF5" w:rsidRPr="00C61183" w:rsidRDefault="000C6EF5" w:rsidP="000C6EF5">
            <w:pPr>
              <w:rPr>
                <w:rFonts w:ascii="Verdana" w:hAnsi="Verdana"/>
              </w:rPr>
            </w:pPr>
            <w:r w:rsidRPr="00C61183">
              <w:rPr>
                <w:rFonts w:ascii="Verdana" w:hAnsi="Verdana"/>
              </w:rPr>
              <w:t>F: IFP, MA</w:t>
            </w:r>
          </w:p>
          <w:p w14:paraId="7C4294E0" w14:textId="4A3456D2" w:rsidR="000C6EF5" w:rsidRPr="00C61183" w:rsidRDefault="000C6EF5" w:rsidP="000C6EF5">
            <w:pPr>
              <w:rPr>
                <w:rFonts w:ascii="Verdana" w:hAnsi="Verdana"/>
              </w:rPr>
            </w:pPr>
            <w:r w:rsidRPr="00C61183">
              <w:rPr>
                <w:rFonts w:ascii="Verdana" w:hAnsi="Verdana"/>
              </w:rPr>
              <w:t>NF: Med</w:t>
            </w:r>
            <w:r>
              <w:rPr>
                <w:rFonts w:ascii="Verdana" w:hAnsi="Verdana"/>
              </w:rPr>
              <w:t>icare</w:t>
            </w:r>
            <w:r w:rsidRPr="00C61183">
              <w:rPr>
                <w:rFonts w:ascii="Verdana" w:hAnsi="Verdana"/>
              </w:rPr>
              <w:t>, PPO</w:t>
            </w:r>
          </w:p>
          <w:p w14:paraId="4D8A3D45" w14:textId="77777777" w:rsidR="000C6EF5" w:rsidRPr="00C61183" w:rsidRDefault="000C6EF5" w:rsidP="000C6EF5">
            <w:pPr>
              <w:rPr>
                <w:rFonts w:ascii="Verdana" w:hAnsi="Verdana"/>
              </w:rPr>
            </w:pPr>
          </w:p>
        </w:tc>
      </w:tr>
      <w:tr w:rsidR="000C6EF5" w:rsidRPr="006547A2" w14:paraId="084854A7" w14:textId="77777777" w:rsidTr="001C6EB3">
        <w:tc>
          <w:tcPr>
            <w:tcW w:w="2520" w:type="dxa"/>
            <w:shd w:val="clear" w:color="auto" w:fill="auto"/>
          </w:tcPr>
          <w:p w14:paraId="1FB89DDF" w14:textId="61EE8D23" w:rsidR="000C6EF5" w:rsidRPr="00C61183" w:rsidRDefault="000C6EF5" w:rsidP="000C6EF5">
            <w:pPr>
              <w:rPr>
                <w:rFonts w:ascii="Verdana" w:hAnsi="Verdana"/>
                <w:color w:val="000000"/>
              </w:rPr>
            </w:pPr>
            <w:r w:rsidRPr="00C61183">
              <w:rPr>
                <w:rFonts w:ascii="Verdana" w:hAnsi="Verdana"/>
                <w:b/>
                <w:bCs/>
                <w:color w:val="000000"/>
              </w:rPr>
              <w:t>Sertraline</w:t>
            </w:r>
            <w:r w:rsidRPr="00C61183">
              <w:rPr>
                <w:rFonts w:ascii="Verdana" w:hAnsi="Verdana"/>
                <w:color w:val="000000"/>
              </w:rPr>
              <w:t xml:space="preserve"> 150 &amp; 200 mg capsules for major depressive disorder &amp; obsessive-compulsive disorder</w:t>
            </w:r>
          </w:p>
        </w:tc>
        <w:tc>
          <w:tcPr>
            <w:tcW w:w="4262" w:type="dxa"/>
            <w:shd w:val="clear" w:color="auto" w:fill="auto"/>
          </w:tcPr>
          <w:p w14:paraId="088D3414" w14:textId="034A383A" w:rsidR="000C6EF5" w:rsidRPr="00C61183" w:rsidRDefault="000C6EF5" w:rsidP="000C6EF5">
            <w:pPr>
              <w:rPr>
                <w:rFonts w:ascii="Verdana" w:hAnsi="Verdana"/>
              </w:rPr>
            </w:pPr>
            <w:r w:rsidRPr="00C61183">
              <w:rPr>
                <w:rFonts w:ascii="Verdana" w:hAnsi="Verdana"/>
              </w:rPr>
              <w:t>Both brand and generic products are $5 or more per capsule, which is significantly more expensive than the tablet formulations which have been generic for a long time and have a MAC price &lt; $0.25 per tablet.</w:t>
            </w:r>
          </w:p>
        </w:tc>
        <w:tc>
          <w:tcPr>
            <w:tcW w:w="4135" w:type="dxa"/>
            <w:shd w:val="clear" w:color="auto" w:fill="auto"/>
          </w:tcPr>
          <w:p w14:paraId="067D7E3F" w14:textId="77777777" w:rsidR="000C6EF5" w:rsidRPr="00C61183" w:rsidRDefault="000C6EF5" w:rsidP="000C6EF5">
            <w:pPr>
              <w:rPr>
                <w:rFonts w:ascii="Verdana" w:hAnsi="Verdana"/>
              </w:rPr>
            </w:pPr>
            <w:r w:rsidRPr="00C61183">
              <w:rPr>
                <w:rFonts w:ascii="Verdana" w:hAnsi="Verdana"/>
              </w:rPr>
              <w:t>NF: all lines of business</w:t>
            </w:r>
          </w:p>
          <w:p w14:paraId="2C13A25B" w14:textId="77777777" w:rsidR="000C6EF5" w:rsidRPr="00C61183" w:rsidRDefault="000C6EF5" w:rsidP="000C6EF5">
            <w:pPr>
              <w:rPr>
                <w:rFonts w:ascii="Verdana" w:hAnsi="Verdana"/>
              </w:rPr>
            </w:pPr>
          </w:p>
        </w:tc>
      </w:tr>
      <w:tr w:rsidR="000C6EF5" w:rsidRPr="006547A2" w14:paraId="57DA0494" w14:textId="77777777" w:rsidTr="001C6EB3">
        <w:tc>
          <w:tcPr>
            <w:tcW w:w="2520" w:type="dxa"/>
            <w:shd w:val="clear" w:color="auto" w:fill="auto"/>
          </w:tcPr>
          <w:p w14:paraId="4800F129" w14:textId="77777777" w:rsidR="000C6EF5" w:rsidRPr="00C61183" w:rsidRDefault="000C6EF5" w:rsidP="000C6EF5">
            <w:pPr>
              <w:rPr>
                <w:rFonts w:ascii="Verdana" w:hAnsi="Verdana"/>
                <w:color w:val="000000"/>
              </w:rPr>
            </w:pPr>
            <w:r w:rsidRPr="00C61183">
              <w:rPr>
                <w:rFonts w:ascii="Verdana" w:hAnsi="Verdana"/>
                <w:b/>
                <w:bCs/>
                <w:color w:val="000000"/>
              </w:rPr>
              <w:lastRenderedPageBreak/>
              <w:t>Fluticasone</w:t>
            </w:r>
            <w:r w:rsidRPr="00C61183">
              <w:rPr>
                <w:rFonts w:ascii="Verdana" w:hAnsi="Verdana"/>
                <w:color w:val="000000"/>
              </w:rPr>
              <w:t xml:space="preserve"> 50, 100, &amp; 200 mcg/actuation AG inhalers for asthma (</w:t>
            </w:r>
            <w:proofErr w:type="spellStart"/>
            <w:r w:rsidRPr="00C61183">
              <w:rPr>
                <w:rFonts w:ascii="Verdana" w:hAnsi="Verdana"/>
                <w:color w:val="000000"/>
              </w:rPr>
              <w:t>Arnuity</w:t>
            </w:r>
            <w:proofErr w:type="spellEnd"/>
            <w:r w:rsidRPr="00C61183">
              <w:rPr>
                <w:rFonts w:ascii="Verdana" w:hAnsi="Verdana"/>
                <w:color w:val="000000"/>
              </w:rPr>
              <w:t xml:space="preserve"> Ellipta AG)</w:t>
            </w:r>
          </w:p>
          <w:p w14:paraId="17408D67" w14:textId="77777777" w:rsidR="000C6EF5" w:rsidRPr="00C61183" w:rsidRDefault="000C6EF5" w:rsidP="000C6EF5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4262" w:type="dxa"/>
            <w:shd w:val="clear" w:color="auto" w:fill="auto"/>
          </w:tcPr>
          <w:p w14:paraId="6EB0683D" w14:textId="77777777" w:rsidR="000C6EF5" w:rsidRPr="00C61183" w:rsidRDefault="000C6EF5" w:rsidP="000C6EF5">
            <w:pPr>
              <w:rPr>
                <w:rFonts w:ascii="Verdana" w:hAnsi="Verdana"/>
              </w:rPr>
            </w:pPr>
            <w:r w:rsidRPr="00C61183">
              <w:rPr>
                <w:rFonts w:ascii="Verdana" w:hAnsi="Verdana"/>
              </w:rPr>
              <w:t>As a multisource brand product with only a 5% reduction in AWP price, it is significantly more expensive than the true brand product, which has a significant rebate available. For that reason, the AG remains not covered, while the branded product remains preferred on formulary</w:t>
            </w:r>
          </w:p>
          <w:p w14:paraId="227D78BE" w14:textId="77777777" w:rsidR="000C6EF5" w:rsidRPr="00C61183" w:rsidRDefault="000C6EF5" w:rsidP="000C6EF5">
            <w:pPr>
              <w:rPr>
                <w:rFonts w:ascii="Verdana" w:hAnsi="Verdana"/>
              </w:rPr>
            </w:pPr>
          </w:p>
        </w:tc>
        <w:tc>
          <w:tcPr>
            <w:tcW w:w="4135" w:type="dxa"/>
            <w:shd w:val="clear" w:color="auto" w:fill="auto"/>
          </w:tcPr>
          <w:p w14:paraId="02512C6E" w14:textId="77777777" w:rsidR="000C6EF5" w:rsidRPr="00C61183" w:rsidRDefault="000C6EF5" w:rsidP="000C6EF5">
            <w:pPr>
              <w:rPr>
                <w:rFonts w:ascii="Verdana" w:hAnsi="Verdana"/>
              </w:rPr>
            </w:pPr>
            <w:r w:rsidRPr="00C61183">
              <w:rPr>
                <w:rFonts w:ascii="Verdana" w:hAnsi="Verdana"/>
              </w:rPr>
              <w:t>NF: all lines of business</w:t>
            </w:r>
          </w:p>
          <w:p w14:paraId="428DE013" w14:textId="77777777" w:rsidR="000C6EF5" w:rsidRPr="00C61183" w:rsidRDefault="000C6EF5" w:rsidP="000C6EF5">
            <w:pPr>
              <w:rPr>
                <w:rFonts w:ascii="Verdana" w:hAnsi="Verdana"/>
              </w:rPr>
            </w:pPr>
          </w:p>
        </w:tc>
      </w:tr>
      <w:tr w:rsidR="000C6EF5" w:rsidRPr="006547A2" w14:paraId="5DA49765" w14:textId="77777777" w:rsidTr="001C6EB3">
        <w:tc>
          <w:tcPr>
            <w:tcW w:w="2520" w:type="dxa"/>
            <w:shd w:val="clear" w:color="auto" w:fill="auto"/>
          </w:tcPr>
          <w:p w14:paraId="4EB6EA96" w14:textId="77777777" w:rsidR="000C6EF5" w:rsidRPr="00C61183" w:rsidRDefault="000C6EF5" w:rsidP="000C6EF5">
            <w:pPr>
              <w:rPr>
                <w:rFonts w:ascii="Verdana" w:hAnsi="Verdana"/>
                <w:color w:val="000000"/>
              </w:rPr>
            </w:pPr>
            <w:r w:rsidRPr="00C61183">
              <w:rPr>
                <w:rFonts w:ascii="Verdana" w:hAnsi="Verdana"/>
                <w:color w:val="000000"/>
              </w:rPr>
              <w:t>Entresto (</w:t>
            </w:r>
            <w:r w:rsidRPr="00C61183">
              <w:rPr>
                <w:rFonts w:ascii="Verdana" w:hAnsi="Verdana"/>
                <w:b/>
                <w:bCs/>
                <w:color w:val="000000"/>
              </w:rPr>
              <w:t>sacubitril-valsartan</w:t>
            </w:r>
            <w:r w:rsidRPr="00C61183">
              <w:rPr>
                <w:rFonts w:ascii="Verdana" w:hAnsi="Verdana"/>
                <w:color w:val="000000"/>
              </w:rPr>
              <w:t>) 24-26, 49-51, &amp; 97-103 mg tablets for heart failure</w:t>
            </w:r>
          </w:p>
          <w:p w14:paraId="319D70C7" w14:textId="77777777" w:rsidR="000C6EF5" w:rsidRPr="00C61183" w:rsidRDefault="000C6EF5" w:rsidP="000C6EF5">
            <w:pPr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4262" w:type="dxa"/>
            <w:shd w:val="clear" w:color="auto" w:fill="auto"/>
          </w:tcPr>
          <w:p w14:paraId="2754E765" w14:textId="77777777" w:rsidR="000C6EF5" w:rsidRPr="00C61183" w:rsidRDefault="000C6EF5" w:rsidP="000C6EF5">
            <w:pPr>
              <w:rPr>
                <w:rFonts w:ascii="Verdana" w:hAnsi="Verdana"/>
              </w:rPr>
            </w:pPr>
            <w:r w:rsidRPr="00C61183">
              <w:rPr>
                <w:rFonts w:ascii="Verdana" w:hAnsi="Verdana"/>
              </w:rPr>
              <w:t xml:space="preserve">After some legal battles, the temporary injunction preventing generic launch was lifted in late July. Several manufacturers have since launched their generic versions. </w:t>
            </w:r>
          </w:p>
          <w:p w14:paraId="7FFC450D" w14:textId="77777777" w:rsidR="000C6EF5" w:rsidRPr="00C61183" w:rsidRDefault="000C6EF5" w:rsidP="000C6EF5">
            <w:pPr>
              <w:rPr>
                <w:rFonts w:ascii="Verdana" w:hAnsi="Verdana"/>
              </w:rPr>
            </w:pPr>
          </w:p>
        </w:tc>
        <w:tc>
          <w:tcPr>
            <w:tcW w:w="4135" w:type="dxa"/>
            <w:shd w:val="clear" w:color="auto" w:fill="auto"/>
          </w:tcPr>
          <w:p w14:paraId="0E2C791F" w14:textId="77777777" w:rsidR="000C6EF5" w:rsidRPr="00974FC7" w:rsidRDefault="000C6EF5" w:rsidP="000C6EF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F: all lines of business</w:t>
            </w:r>
          </w:p>
          <w:p w14:paraId="0BF1FDDC" w14:textId="77777777" w:rsidR="000C6EF5" w:rsidRPr="00C61183" w:rsidRDefault="000C6EF5" w:rsidP="000C6EF5">
            <w:pPr>
              <w:rPr>
                <w:rFonts w:ascii="Verdana" w:hAnsi="Verdana"/>
              </w:rPr>
            </w:pPr>
          </w:p>
        </w:tc>
      </w:tr>
    </w:tbl>
    <w:p w14:paraId="1D317A5C" w14:textId="77777777" w:rsidR="00296E12" w:rsidRPr="006547A2" w:rsidRDefault="00296E12" w:rsidP="00E32DDA">
      <w:pPr>
        <w:rPr>
          <w:rFonts w:ascii="Verdana" w:eastAsia="Times New Roman" w:hAnsi="Verdana" w:cs="Arial"/>
          <w:b/>
        </w:rPr>
      </w:pPr>
      <w:bookmarkStart w:id="1" w:name="_Hlk65757423"/>
    </w:p>
    <w:tbl>
      <w:tblPr>
        <w:tblStyle w:val="LightList-Accent5"/>
        <w:tblW w:w="10885" w:type="dxa"/>
        <w:tblInd w:w="-95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10885"/>
      </w:tblGrid>
      <w:tr w:rsidR="00255A16" w:rsidRPr="006547A2" w14:paraId="20EA93DD" w14:textId="77777777" w:rsidTr="00B65A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5" w:type="dxa"/>
            <w:shd w:val="clear" w:color="auto" w:fill="00205B"/>
          </w:tcPr>
          <w:p w14:paraId="299A5639" w14:textId="3A6725C7" w:rsidR="00255A16" w:rsidRPr="006547A2" w:rsidRDefault="00255A16" w:rsidP="00B65A41">
            <w:pPr>
              <w:spacing w:after="240"/>
              <w:rPr>
                <w:rFonts w:ascii="Verdana" w:eastAsia="Times New Roman" w:hAnsi="Verdana" w:cs="Arial"/>
              </w:rPr>
            </w:pPr>
            <w:r w:rsidRPr="006547A2">
              <w:rPr>
                <w:rFonts w:ascii="Verdana" w:eastAsia="Times New Roman" w:hAnsi="Verdana" w:cs="Arial"/>
              </w:rPr>
              <w:t xml:space="preserve">New or Expanded Formulations </w:t>
            </w:r>
          </w:p>
        </w:tc>
      </w:tr>
    </w:tbl>
    <w:tbl>
      <w:tblPr>
        <w:tblStyle w:val="TableGrid"/>
        <w:tblW w:w="10917" w:type="dxa"/>
        <w:tblInd w:w="-95" w:type="dxa"/>
        <w:tblLook w:val="04A0" w:firstRow="1" w:lastRow="0" w:firstColumn="1" w:lastColumn="0" w:noHBand="0" w:noVBand="1"/>
      </w:tblPr>
      <w:tblGrid>
        <w:gridCol w:w="2589"/>
        <w:gridCol w:w="4232"/>
        <w:gridCol w:w="4096"/>
      </w:tblGrid>
      <w:tr w:rsidR="00255A16" w:rsidRPr="006547A2" w14:paraId="0BA472AD" w14:textId="77777777" w:rsidTr="00876AB4">
        <w:trPr>
          <w:trHeight w:val="566"/>
        </w:trPr>
        <w:tc>
          <w:tcPr>
            <w:tcW w:w="2589" w:type="dxa"/>
          </w:tcPr>
          <w:p w14:paraId="62373FE1" w14:textId="77777777" w:rsidR="00255A16" w:rsidRPr="006547A2" w:rsidRDefault="00255A16" w:rsidP="00B65A41">
            <w:pPr>
              <w:spacing w:after="240"/>
              <w:rPr>
                <w:rFonts w:ascii="Verdana" w:eastAsia="Times New Roman" w:hAnsi="Verdana" w:cs="Arial"/>
              </w:rPr>
            </w:pPr>
            <w:r w:rsidRPr="006547A2">
              <w:rPr>
                <w:rFonts w:ascii="Verdana" w:hAnsi="Verdana"/>
                <w:b/>
                <w:bCs/>
              </w:rPr>
              <w:t>Drug</w:t>
            </w:r>
          </w:p>
        </w:tc>
        <w:tc>
          <w:tcPr>
            <w:tcW w:w="4232" w:type="dxa"/>
          </w:tcPr>
          <w:p w14:paraId="7C9A7639" w14:textId="77777777" w:rsidR="00255A16" w:rsidRPr="006547A2" w:rsidRDefault="00255A16" w:rsidP="00B65A41">
            <w:pPr>
              <w:spacing w:after="240"/>
              <w:rPr>
                <w:rFonts w:ascii="Verdana" w:eastAsia="Times New Roman" w:hAnsi="Verdana" w:cs="Arial"/>
                <w:b/>
                <w:bCs/>
              </w:rPr>
            </w:pPr>
            <w:r w:rsidRPr="006547A2">
              <w:rPr>
                <w:rFonts w:ascii="Verdana" w:eastAsia="Times New Roman" w:hAnsi="Verdana" w:cs="Arial"/>
                <w:b/>
                <w:bCs/>
              </w:rPr>
              <w:t>Rationale/Alternative</w:t>
            </w:r>
          </w:p>
        </w:tc>
        <w:tc>
          <w:tcPr>
            <w:tcW w:w="4096" w:type="dxa"/>
          </w:tcPr>
          <w:p w14:paraId="4CB66098" w14:textId="77777777" w:rsidR="00255A16" w:rsidRPr="006547A2" w:rsidRDefault="00255A16" w:rsidP="00B65A41">
            <w:pPr>
              <w:spacing w:after="240"/>
              <w:rPr>
                <w:rFonts w:ascii="Verdana" w:eastAsia="Times New Roman" w:hAnsi="Verdana" w:cs="Arial"/>
              </w:rPr>
            </w:pPr>
            <w:r w:rsidRPr="006547A2">
              <w:rPr>
                <w:rFonts w:ascii="Verdana" w:hAnsi="Verdana"/>
                <w:b/>
              </w:rPr>
              <w:t>Recommendation</w:t>
            </w:r>
          </w:p>
        </w:tc>
      </w:tr>
      <w:tr w:rsidR="00FB700B" w:rsidRPr="006547A2" w14:paraId="2DEE45DB" w14:textId="77777777" w:rsidTr="00876AB4">
        <w:tc>
          <w:tcPr>
            <w:tcW w:w="2589" w:type="dxa"/>
            <w:shd w:val="clear" w:color="auto" w:fill="auto"/>
          </w:tcPr>
          <w:p w14:paraId="3ED006F4" w14:textId="6544C73F" w:rsidR="00FB700B" w:rsidRPr="00876AB4" w:rsidRDefault="009F5282" w:rsidP="00FB700B">
            <w:pPr>
              <w:rPr>
                <w:rFonts w:ascii="Verdana" w:hAnsi="Verdana" w:cs="Arial"/>
              </w:rPr>
            </w:pPr>
            <w:r w:rsidRPr="009F5282">
              <w:rPr>
                <w:rFonts w:ascii="Verdana" w:hAnsi="Verdana" w:cs="Arial"/>
                <w:b/>
                <w:bCs/>
                <w:lang w:val="pt-BR"/>
              </w:rPr>
              <w:t>Miudella</w:t>
            </w:r>
            <w:r w:rsidRPr="009F5282">
              <w:rPr>
                <w:rFonts w:ascii="Verdana" w:hAnsi="Verdana" w:cs="Arial"/>
                <w:lang w:val="pt-BR"/>
              </w:rPr>
              <w:t xml:space="preserve"> (copper IUD) for contraception</w:t>
            </w:r>
          </w:p>
        </w:tc>
        <w:tc>
          <w:tcPr>
            <w:tcW w:w="4232" w:type="dxa"/>
            <w:shd w:val="clear" w:color="auto" w:fill="auto"/>
          </w:tcPr>
          <w:p w14:paraId="1A5CFB86" w14:textId="77777777" w:rsidR="009F5282" w:rsidRPr="009F5282" w:rsidRDefault="009F5282" w:rsidP="009F5282">
            <w:pPr>
              <w:rPr>
                <w:rFonts w:ascii="Verdana" w:hAnsi="Verdana"/>
              </w:rPr>
            </w:pPr>
            <w:r w:rsidRPr="009F5282">
              <w:rPr>
                <w:rFonts w:ascii="Verdana" w:hAnsi="Verdana"/>
              </w:rPr>
              <w:t xml:space="preserve">This product contains a lower copper content compared to Paragard, which is of unknown clinical significance. It also uses a more flexible material and improved applicator which may decrease pain during insertion and throughout the duration of use. </w:t>
            </w:r>
          </w:p>
          <w:p w14:paraId="2F5851F7" w14:textId="07CCE289" w:rsidR="00FB700B" w:rsidRPr="006547A2" w:rsidRDefault="00FB700B" w:rsidP="00FB700B">
            <w:pPr>
              <w:rPr>
                <w:rFonts w:ascii="Verdana" w:hAnsi="Verdana"/>
              </w:rPr>
            </w:pPr>
          </w:p>
        </w:tc>
        <w:tc>
          <w:tcPr>
            <w:tcW w:w="4096" w:type="dxa"/>
            <w:shd w:val="clear" w:color="auto" w:fill="auto"/>
          </w:tcPr>
          <w:p w14:paraId="0DB89CE8" w14:textId="1A67BBF2" w:rsidR="009F5282" w:rsidRPr="009F5282" w:rsidRDefault="009F5282" w:rsidP="009F5282">
            <w:pPr>
              <w:rPr>
                <w:rFonts w:ascii="Verdana" w:hAnsi="Verdana"/>
              </w:rPr>
            </w:pPr>
            <w:r w:rsidRPr="009F5282">
              <w:rPr>
                <w:rFonts w:ascii="Verdana" w:hAnsi="Verdana"/>
              </w:rPr>
              <w:t>NF: Med</w:t>
            </w:r>
            <w:r>
              <w:rPr>
                <w:rFonts w:ascii="Verdana" w:hAnsi="Verdana"/>
              </w:rPr>
              <w:t>icare</w:t>
            </w:r>
            <w:r w:rsidRPr="009F5282">
              <w:rPr>
                <w:rFonts w:ascii="Verdana" w:hAnsi="Verdana"/>
              </w:rPr>
              <w:t>, PPO</w:t>
            </w:r>
          </w:p>
          <w:p w14:paraId="7E683968" w14:textId="237B94A9" w:rsidR="009F5282" w:rsidRPr="009F5282" w:rsidRDefault="009F5282" w:rsidP="009F5282">
            <w:pPr>
              <w:rPr>
                <w:rFonts w:ascii="Verdana" w:hAnsi="Verdana"/>
              </w:rPr>
            </w:pPr>
            <w:r w:rsidRPr="009F5282">
              <w:rPr>
                <w:rFonts w:ascii="Verdana" w:hAnsi="Verdana"/>
              </w:rPr>
              <w:t xml:space="preserve">F: IFP, </w:t>
            </w:r>
            <w:r w:rsidR="00D337DA">
              <w:rPr>
                <w:rFonts w:ascii="Verdana" w:hAnsi="Verdana"/>
              </w:rPr>
              <w:t>MA</w:t>
            </w:r>
          </w:p>
          <w:p w14:paraId="6A4D2E18" w14:textId="520B11D9" w:rsidR="00FB700B" w:rsidRPr="006547A2" w:rsidRDefault="00FB700B" w:rsidP="00FB700B">
            <w:pPr>
              <w:rPr>
                <w:rFonts w:ascii="Verdana" w:hAnsi="Verdana"/>
              </w:rPr>
            </w:pPr>
          </w:p>
        </w:tc>
      </w:tr>
      <w:tr w:rsidR="00FB700B" w:rsidRPr="006547A2" w14:paraId="112DD9CA" w14:textId="77777777" w:rsidTr="00876AB4">
        <w:tc>
          <w:tcPr>
            <w:tcW w:w="2589" w:type="dxa"/>
            <w:shd w:val="clear" w:color="auto" w:fill="auto"/>
          </w:tcPr>
          <w:p w14:paraId="46A8106E" w14:textId="77777777" w:rsidR="009F5282" w:rsidRPr="009F5282" w:rsidRDefault="009F5282" w:rsidP="009F5282">
            <w:pPr>
              <w:rPr>
                <w:rFonts w:ascii="Verdana" w:hAnsi="Verdana" w:cs="Arial"/>
              </w:rPr>
            </w:pPr>
            <w:proofErr w:type="spellStart"/>
            <w:r w:rsidRPr="009F5282">
              <w:rPr>
                <w:rFonts w:ascii="Verdana" w:hAnsi="Verdana" w:cs="Arial"/>
                <w:b/>
                <w:bCs/>
              </w:rPr>
              <w:t>Livmarli</w:t>
            </w:r>
            <w:proofErr w:type="spellEnd"/>
            <w:r w:rsidRPr="009F5282">
              <w:rPr>
                <w:rFonts w:ascii="Verdana" w:hAnsi="Verdana" w:cs="Arial"/>
                <w:b/>
                <w:bCs/>
              </w:rPr>
              <w:t xml:space="preserve"> </w:t>
            </w:r>
            <w:r w:rsidRPr="009F5282">
              <w:rPr>
                <w:rFonts w:ascii="Verdana" w:hAnsi="Verdana" w:cs="Arial"/>
              </w:rPr>
              <w:t>(</w:t>
            </w:r>
            <w:proofErr w:type="spellStart"/>
            <w:r w:rsidRPr="009F5282">
              <w:rPr>
                <w:rFonts w:ascii="Verdana" w:hAnsi="Verdana" w:cs="Arial"/>
              </w:rPr>
              <w:t>maralixibat</w:t>
            </w:r>
            <w:proofErr w:type="spellEnd"/>
            <w:r w:rsidRPr="009F5282">
              <w:rPr>
                <w:rFonts w:ascii="Verdana" w:hAnsi="Verdana" w:cs="Arial"/>
              </w:rPr>
              <w:t>) 10, 15, 20 &amp; 30 mg tablets for Alagille syndrome &amp; cholestatic pruritus in progressive familial intrahepatic cholestasis</w:t>
            </w:r>
          </w:p>
          <w:p w14:paraId="5F98A3E2" w14:textId="0E10BE17" w:rsidR="00FB700B" w:rsidRPr="006547A2" w:rsidRDefault="00FB700B" w:rsidP="00FB700B">
            <w:pPr>
              <w:rPr>
                <w:rFonts w:ascii="Verdana" w:hAnsi="Verdana" w:cs="Arial"/>
              </w:rPr>
            </w:pPr>
          </w:p>
        </w:tc>
        <w:tc>
          <w:tcPr>
            <w:tcW w:w="4232" w:type="dxa"/>
            <w:shd w:val="clear" w:color="auto" w:fill="auto"/>
          </w:tcPr>
          <w:p w14:paraId="470D36C7" w14:textId="77777777" w:rsidR="009F5282" w:rsidRPr="009F5282" w:rsidRDefault="009F5282" w:rsidP="009F5282">
            <w:pPr>
              <w:rPr>
                <w:rFonts w:ascii="Verdana" w:hAnsi="Verdana"/>
              </w:rPr>
            </w:pPr>
            <w:proofErr w:type="spellStart"/>
            <w:r w:rsidRPr="009F5282">
              <w:rPr>
                <w:rFonts w:ascii="Verdana" w:hAnsi="Verdana"/>
              </w:rPr>
              <w:t>Livmarli</w:t>
            </w:r>
            <w:proofErr w:type="spellEnd"/>
            <w:r w:rsidRPr="009F5282">
              <w:rPr>
                <w:rFonts w:ascii="Verdana" w:hAnsi="Verdana"/>
              </w:rPr>
              <w:t xml:space="preserve"> initially launched with only an oral solution available. New tablet formulations containing 10, 15, 20, or 30 mg of </w:t>
            </w:r>
            <w:proofErr w:type="spellStart"/>
            <w:r w:rsidRPr="009F5282">
              <w:rPr>
                <w:rFonts w:ascii="Verdana" w:hAnsi="Verdana"/>
              </w:rPr>
              <w:t>maralixibat</w:t>
            </w:r>
            <w:proofErr w:type="spellEnd"/>
            <w:r w:rsidRPr="009F5282">
              <w:rPr>
                <w:rFonts w:ascii="Verdana" w:hAnsi="Verdana"/>
              </w:rPr>
              <w:t xml:space="preserve"> have launched. </w:t>
            </w:r>
          </w:p>
          <w:p w14:paraId="7DD3FADA" w14:textId="1A21E268" w:rsidR="00FB700B" w:rsidRPr="006547A2" w:rsidRDefault="00FB700B" w:rsidP="00FB700B">
            <w:pPr>
              <w:rPr>
                <w:rFonts w:ascii="Verdana" w:hAnsi="Verdana"/>
              </w:rPr>
            </w:pPr>
          </w:p>
        </w:tc>
        <w:tc>
          <w:tcPr>
            <w:tcW w:w="4096" w:type="dxa"/>
            <w:shd w:val="clear" w:color="auto" w:fill="auto"/>
          </w:tcPr>
          <w:p w14:paraId="484B70A9" w14:textId="54D9707A" w:rsidR="00FB700B" w:rsidRPr="006547A2" w:rsidRDefault="009F5282" w:rsidP="00FB70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</w:t>
            </w:r>
            <w:r w:rsidR="00FB700B">
              <w:rPr>
                <w:rFonts w:ascii="Verdana" w:hAnsi="Verdana"/>
              </w:rPr>
              <w:t>F: all lines of business</w:t>
            </w:r>
          </w:p>
        </w:tc>
      </w:tr>
      <w:tr w:rsidR="00FB700B" w:rsidRPr="006547A2" w14:paraId="2727C4DE" w14:textId="77777777" w:rsidTr="00876AB4">
        <w:tc>
          <w:tcPr>
            <w:tcW w:w="2589" w:type="dxa"/>
            <w:shd w:val="clear" w:color="auto" w:fill="auto"/>
          </w:tcPr>
          <w:p w14:paraId="7C99BB4B" w14:textId="77777777" w:rsidR="009F5282" w:rsidRPr="009F5282" w:rsidRDefault="009F5282" w:rsidP="009F5282">
            <w:pPr>
              <w:rPr>
                <w:rFonts w:ascii="Verdana" w:hAnsi="Verdana" w:cs="Arial"/>
              </w:rPr>
            </w:pPr>
            <w:proofErr w:type="spellStart"/>
            <w:r w:rsidRPr="009F5282">
              <w:rPr>
                <w:rFonts w:ascii="Verdana" w:hAnsi="Verdana" w:cs="Arial"/>
                <w:b/>
                <w:bCs/>
              </w:rPr>
              <w:t>Edurant</w:t>
            </w:r>
            <w:proofErr w:type="spellEnd"/>
            <w:r w:rsidRPr="009F5282">
              <w:rPr>
                <w:rFonts w:ascii="Verdana" w:hAnsi="Verdana" w:cs="Arial"/>
                <w:b/>
                <w:bCs/>
              </w:rPr>
              <w:t xml:space="preserve"> Ped </w:t>
            </w:r>
            <w:r w:rsidRPr="009F5282">
              <w:rPr>
                <w:rFonts w:ascii="Verdana" w:hAnsi="Verdana" w:cs="Arial"/>
              </w:rPr>
              <w:t>(</w:t>
            </w:r>
            <w:proofErr w:type="spellStart"/>
            <w:r w:rsidRPr="009F5282">
              <w:rPr>
                <w:rFonts w:ascii="Verdana" w:hAnsi="Verdana" w:cs="Arial"/>
              </w:rPr>
              <w:t>rilpivirine</w:t>
            </w:r>
            <w:proofErr w:type="spellEnd"/>
            <w:r w:rsidRPr="009F5282">
              <w:rPr>
                <w:rFonts w:ascii="Verdana" w:hAnsi="Verdana" w:cs="Arial"/>
              </w:rPr>
              <w:t>) 2.5 mg tablets for oral suspension for HIV-1 infection</w:t>
            </w:r>
          </w:p>
          <w:p w14:paraId="4F625DB5" w14:textId="335920F8" w:rsidR="00FB700B" w:rsidRPr="006547A2" w:rsidRDefault="00FB700B" w:rsidP="00FB700B">
            <w:pPr>
              <w:rPr>
                <w:rFonts w:ascii="Verdana" w:hAnsi="Verdana" w:cs="Arial"/>
              </w:rPr>
            </w:pPr>
          </w:p>
        </w:tc>
        <w:tc>
          <w:tcPr>
            <w:tcW w:w="4232" w:type="dxa"/>
            <w:shd w:val="clear" w:color="auto" w:fill="auto"/>
          </w:tcPr>
          <w:p w14:paraId="149F0600" w14:textId="77777777" w:rsidR="009F5282" w:rsidRPr="009F5282" w:rsidRDefault="009F5282" w:rsidP="009F5282">
            <w:pPr>
              <w:rPr>
                <w:rFonts w:ascii="Verdana" w:hAnsi="Verdana"/>
              </w:rPr>
            </w:pPr>
            <w:r w:rsidRPr="009F5282">
              <w:rPr>
                <w:rFonts w:ascii="Verdana" w:hAnsi="Verdana"/>
              </w:rPr>
              <w:t xml:space="preserve">Lower strength </w:t>
            </w:r>
            <w:proofErr w:type="spellStart"/>
            <w:r w:rsidRPr="009F5282">
              <w:rPr>
                <w:rFonts w:ascii="Verdana" w:hAnsi="Verdana"/>
              </w:rPr>
              <w:t>rilpivirine</w:t>
            </w:r>
            <w:proofErr w:type="spellEnd"/>
            <w:r w:rsidRPr="009F5282">
              <w:rPr>
                <w:rFonts w:ascii="Verdana" w:hAnsi="Verdana"/>
              </w:rPr>
              <w:t xml:space="preserve"> tablets for oral suspension launched supporting dosing in pediatrics at the same daily WAC cost as the standard 25 mg tablets used in older patients. </w:t>
            </w:r>
          </w:p>
          <w:p w14:paraId="0BB1CFDC" w14:textId="79778CF5" w:rsidR="00FB700B" w:rsidRPr="006547A2" w:rsidRDefault="00FB700B" w:rsidP="00FB700B">
            <w:pPr>
              <w:rPr>
                <w:rFonts w:ascii="Verdana" w:hAnsi="Verdana"/>
              </w:rPr>
            </w:pPr>
          </w:p>
        </w:tc>
        <w:tc>
          <w:tcPr>
            <w:tcW w:w="4096" w:type="dxa"/>
            <w:shd w:val="clear" w:color="auto" w:fill="auto"/>
          </w:tcPr>
          <w:p w14:paraId="3F7FDC00" w14:textId="25C32915" w:rsidR="00FB700B" w:rsidRPr="006547A2" w:rsidRDefault="00FB700B" w:rsidP="00FB70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F: all lines of business</w:t>
            </w:r>
          </w:p>
        </w:tc>
      </w:tr>
      <w:tr w:rsidR="00FB700B" w:rsidRPr="006547A2" w14:paraId="60F4F90A" w14:textId="77777777" w:rsidTr="00876AB4">
        <w:tc>
          <w:tcPr>
            <w:tcW w:w="2589" w:type="dxa"/>
            <w:shd w:val="clear" w:color="auto" w:fill="auto"/>
          </w:tcPr>
          <w:p w14:paraId="5F6BA3F9" w14:textId="77777777" w:rsidR="009F5282" w:rsidRPr="009F5282" w:rsidRDefault="009F5282" w:rsidP="009F5282">
            <w:pPr>
              <w:rPr>
                <w:rFonts w:ascii="Verdana" w:hAnsi="Verdana" w:cs="Arial"/>
              </w:rPr>
            </w:pPr>
            <w:proofErr w:type="spellStart"/>
            <w:r w:rsidRPr="009F5282">
              <w:rPr>
                <w:rFonts w:ascii="Verdana" w:hAnsi="Verdana" w:cs="Arial"/>
                <w:b/>
                <w:bCs/>
              </w:rPr>
              <w:lastRenderedPageBreak/>
              <w:t>Bucapsol</w:t>
            </w:r>
            <w:proofErr w:type="spellEnd"/>
            <w:r w:rsidRPr="009F5282">
              <w:rPr>
                <w:rFonts w:ascii="Verdana" w:hAnsi="Verdana" w:cs="Arial"/>
              </w:rPr>
              <w:t xml:space="preserve"> (buspirone) 7.5, 10, &amp; 15 mg capsules for anxiety</w:t>
            </w:r>
          </w:p>
          <w:p w14:paraId="109B646E" w14:textId="633D3DF7" w:rsidR="00FB700B" w:rsidRPr="006547A2" w:rsidRDefault="00FB700B" w:rsidP="00FB700B">
            <w:pPr>
              <w:rPr>
                <w:rFonts w:ascii="Verdana" w:hAnsi="Verdana" w:cs="Arial"/>
              </w:rPr>
            </w:pPr>
          </w:p>
        </w:tc>
        <w:tc>
          <w:tcPr>
            <w:tcW w:w="4232" w:type="dxa"/>
            <w:shd w:val="clear" w:color="auto" w:fill="auto"/>
          </w:tcPr>
          <w:p w14:paraId="1FFBBABC" w14:textId="77777777" w:rsidR="009F5282" w:rsidRPr="009F5282" w:rsidRDefault="009F5282" w:rsidP="009F5282">
            <w:pPr>
              <w:rPr>
                <w:rFonts w:ascii="Verdana" w:hAnsi="Verdana"/>
              </w:rPr>
            </w:pPr>
            <w:r w:rsidRPr="009F5282">
              <w:rPr>
                <w:rFonts w:ascii="Verdana" w:hAnsi="Verdana"/>
              </w:rPr>
              <w:t>Buspirone oral capsules recently launched at a significantly higher cost than the same strength generically available tablets, which are covered on formulary and can be used instead of the capsules.</w:t>
            </w:r>
          </w:p>
          <w:p w14:paraId="34689B44" w14:textId="7D528ECD" w:rsidR="00FB700B" w:rsidRPr="006547A2" w:rsidRDefault="00FB700B" w:rsidP="00FB700B">
            <w:pPr>
              <w:rPr>
                <w:rFonts w:ascii="Verdana" w:hAnsi="Verdana"/>
              </w:rPr>
            </w:pPr>
          </w:p>
        </w:tc>
        <w:tc>
          <w:tcPr>
            <w:tcW w:w="4096" w:type="dxa"/>
            <w:shd w:val="clear" w:color="auto" w:fill="auto"/>
          </w:tcPr>
          <w:p w14:paraId="2C19483C" w14:textId="0B21D9CA" w:rsidR="00FB700B" w:rsidRPr="006547A2" w:rsidRDefault="00FB700B" w:rsidP="00FB70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</w:t>
            </w:r>
            <w:r w:rsidRPr="0040739A">
              <w:rPr>
                <w:rFonts w:ascii="Verdana" w:hAnsi="Verdana"/>
              </w:rPr>
              <w:t>F: all lines of business</w:t>
            </w:r>
          </w:p>
        </w:tc>
      </w:tr>
      <w:tr w:rsidR="00FB700B" w:rsidRPr="006547A2" w14:paraId="0809018C" w14:textId="77777777" w:rsidTr="00876AB4">
        <w:tc>
          <w:tcPr>
            <w:tcW w:w="2589" w:type="dxa"/>
            <w:shd w:val="clear" w:color="auto" w:fill="auto"/>
          </w:tcPr>
          <w:p w14:paraId="195CFB95" w14:textId="77777777" w:rsidR="009F5282" w:rsidRPr="009F5282" w:rsidRDefault="009F5282" w:rsidP="009F5282">
            <w:pPr>
              <w:rPr>
                <w:rFonts w:ascii="Verdana" w:hAnsi="Verdana" w:cs="Arial"/>
              </w:rPr>
            </w:pPr>
            <w:proofErr w:type="spellStart"/>
            <w:r w:rsidRPr="009F5282">
              <w:rPr>
                <w:rFonts w:ascii="Verdana" w:hAnsi="Verdana" w:cs="Arial"/>
                <w:b/>
                <w:bCs/>
              </w:rPr>
              <w:t>Khindivi</w:t>
            </w:r>
            <w:proofErr w:type="spellEnd"/>
            <w:r w:rsidRPr="009F5282">
              <w:rPr>
                <w:rFonts w:ascii="Verdana" w:hAnsi="Verdana" w:cs="Arial"/>
              </w:rPr>
              <w:t xml:space="preserve"> (hydrocortisone) 1mg/mL oral solution for Adrenocortical insufficiency &amp;</w:t>
            </w:r>
          </w:p>
          <w:p w14:paraId="1F2C3495" w14:textId="77777777" w:rsidR="009F5282" w:rsidRPr="009F5282" w:rsidRDefault="009F5282" w:rsidP="009F5282">
            <w:pPr>
              <w:rPr>
                <w:rFonts w:ascii="Verdana" w:hAnsi="Verdana" w:cs="Arial"/>
              </w:rPr>
            </w:pPr>
            <w:proofErr w:type="spellStart"/>
            <w:r w:rsidRPr="009F5282">
              <w:rPr>
                <w:rFonts w:ascii="Verdana" w:hAnsi="Verdana" w:cs="Arial"/>
              </w:rPr>
              <w:t>Alkindi</w:t>
            </w:r>
            <w:proofErr w:type="spellEnd"/>
            <w:r w:rsidRPr="009F5282">
              <w:rPr>
                <w:rFonts w:ascii="Verdana" w:hAnsi="Verdana" w:cs="Arial"/>
              </w:rPr>
              <w:t xml:space="preserve"> (hydrocortisone) sprinkle capsules formulary maintenance</w:t>
            </w:r>
          </w:p>
          <w:p w14:paraId="21C98F4D" w14:textId="08C9CE17" w:rsidR="00FB700B" w:rsidRPr="006547A2" w:rsidRDefault="00FB700B" w:rsidP="00FB700B">
            <w:pPr>
              <w:rPr>
                <w:rFonts w:ascii="Verdana" w:hAnsi="Verdana" w:cs="Arial"/>
              </w:rPr>
            </w:pPr>
          </w:p>
        </w:tc>
        <w:tc>
          <w:tcPr>
            <w:tcW w:w="4232" w:type="dxa"/>
            <w:shd w:val="clear" w:color="auto" w:fill="auto"/>
          </w:tcPr>
          <w:p w14:paraId="42198CB6" w14:textId="77777777" w:rsidR="009F5282" w:rsidRPr="009F5282" w:rsidRDefault="009F5282" w:rsidP="009F5282">
            <w:pPr>
              <w:rPr>
                <w:rFonts w:ascii="Verdana" w:hAnsi="Verdana"/>
              </w:rPr>
            </w:pPr>
            <w:proofErr w:type="spellStart"/>
            <w:r w:rsidRPr="009F5282">
              <w:rPr>
                <w:rFonts w:ascii="Verdana" w:hAnsi="Verdana"/>
              </w:rPr>
              <w:t>Khindivi</w:t>
            </w:r>
            <w:proofErr w:type="spellEnd"/>
            <w:r w:rsidRPr="009F5282">
              <w:rPr>
                <w:rFonts w:ascii="Verdana" w:hAnsi="Verdana"/>
              </w:rPr>
              <w:t xml:space="preserve"> is a new oral solution formulation of hydrocortisone used as replacement therapy in pediatric patients = 5 years of age with adrenocortical insufficiency. </w:t>
            </w:r>
          </w:p>
          <w:p w14:paraId="4C8B5324" w14:textId="3F7F115C" w:rsidR="00FB700B" w:rsidRPr="006547A2" w:rsidRDefault="00FB700B" w:rsidP="00FB700B">
            <w:pPr>
              <w:rPr>
                <w:rFonts w:ascii="Verdana" w:hAnsi="Verdana"/>
              </w:rPr>
            </w:pPr>
          </w:p>
        </w:tc>
        <w:tc>
          <w:tcPr>
            <w:tcW w:w="4096" w:type="dxa"/>
            <w:shd w:val="clear" w:color="auto" w:fill="auto"/>
          </w:tcPr>
          <w:p w14:paraId="18016193" w14:textId="45467313" w:rsidR="00FB700B" w:rsidRPr="006547A2" w:rsidRDefault="00FB700B" w:rsidP="00FB70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NF: all lines of business</w:t>
            </w:r>
          </w:p>
        </w:tc>
      </w:tr>
      <w:tr w:rsidR="00FB700B" w:rsidRPr="006547A2" w14:paraId="13911519" w14:textId="77777777" w:rsidTr="00876AB4">
        <w:tc>
          <w:tcPr>
            <w:tcW w:w="2589" w:type="dxa"/>
            <w:shd w:val="clear" w:color="auto" w:fill="auto"/>
          </w:tcPr>
          <w:p w14:paraId="67D761B4" w14:textId="77777777" w:rsidR="009F5282" w:rsidRPr="009F5282" w:rsidRDefault="009F5282" w:rsidP="009F5282">
            <w:pPr>
              <w:rPr>
                <w:rFonts w:ascii="Verdana" w:hAnsi="Verdana" w:cs="Arial"/>
              </w:rPr>
            </w:pPr>
            <w:r w:rsidRPr="009F5282">
              <w:rPr>
                <w:rFonts w:ascii="Verdana" w:hAnsi="Verdana" w:cs="Arial"/>
                <w:b/>
                <w:bCs/>
              </w:rPr>
              <w:t xml:space="preserve">Nilotinib d-tartrate </w:t>
            </w:r>
            <w:r w:rsidRPr="009F5282">
              <w:rPr>
                <w:rFonts w:ascii="Verdana" w:hAnsi="Verdana" w:cs="Arial"/>
              </w:rPr>
              <w:t>50, 150, &amp; 200 mg capsules for Philadelphia chromosome positive chronic myeloid leukemia (Ph+ CML)</w:t>
            </w:r>
          </w:p>
          <w:p w14:paraId="270EBAFE" w14:textId="40F40FC3" w:rsidR="00FB700B" w:rsidRPr="006547A2" w:rsidRDefault="00FB700B" w:rsidP="00FB700B">
            <w:pPr>
              <w:rPr>
                <w:rFonts w:ascii="Verdana" w:hAnsi="Verdana" w:cs="Arial"/>
              </w:rPr>
            </w:pPr>
          </w:p>
        </w:tc>
        <w:tc>
          <w:tcPr>
            <w:tcW w:w="4232" w:type="dxa"/>
            <w:shd w:val="clear" w:color="auto" w:fill="auto"/>
          </w:tcPr>
          <w:p w14:paraId="75ADE858" w14:textId="77777777" w:rsidR="009F5282" w:rsidRPr="009F5282" w:rsidRDefault="009F5282" w:rsidP="009F5282">
            <w:pPr>
              <w:rPr>
                <w:rFonts w:ascii="Verdana" w:hAnsi="Verdana"/>
              </w:rPr>
            </w:pPr>
            <w:r w:rsidRPr="009F5282">
              <w:rPr>
                <w:rFonts w:ascii="Verdana" w:hAnsi="Verdana"/>
              </w:rPr>
              <w:t>Nilotinib d-tartrate capsules recently launched. They are a different salt form than the generically available nilotinib (</w:t>
            </w:r>
            <w:proofErr w:type="spellStart"/>
            <w:r w:rsidRPr="009F5282">
              <w:rPr>
                <w:rFonts w:ascii="Verdana" w:hAnsi="Verdana"/>
              </w:rPr>
              <w:t>Tasigna</w:t>
            </w:r>
            <w:proofErr w:type="spellEnd"/>
            <w:r w:rsidRPr="009F5282">
              <w:rPr>
                <w:rFonts w:ascii="Verdana" w:hAnsi="Verdana"/>
              </w:rPr>
              <w:t>), however, there is no difference in dosage or administration. Nilotinib d-tartrate capsules are higher cost than the existing generic formulation ($183.59 vs $176.25 per cap)</w:t>
            </w:r>
          </w:p>
          <w:p w14:paraId="7B28633C" w14:textId="018D1C15" w:rsidR="00FB700B" w:rsidRPr="006547A2" w:rsidRDefault="00FB700B" w:rsidP="00FB700B">
            <w:pPr>
              <w:rPr>
                <w:rFonts w:ascii="Verdana" w:hAnsi="Verdana"/>
              </w:rPr>
            </w:pPr>
          </w:p>
        </w:tc>
        <w:tc>
          <w:tcPr>
            <w:tcW w:w="4096" w:type="dxa"/>
            <w:shd w:val="clear" w:color="auto" w:fill="auto"/>
          </w:tcPr>
          <w:p w14:paraId="5773E124" w14:textId="18C8B83C" w:rsidR="00FB700B" w:rsidRPr="006547A2" w:rsidRDefault="00FB700B" w:rsidP="00FB70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NF: all lines of business</w:t>
            </w:r>
          </w:p>
        </w:tc>
      </w:tr>
      <w:tr w:rsidR="00FB700B" w:rsidRPr="006547A2" w14:paraId="3DEBBCBD" w14:textId="77777777" w:rsidTr="00876AB4">
        <w:tc>
          <w:tcPr>
            <w:tcW w:w="2589" w:type="dxa"/>
            <w:shd w:val="clear" w:color="auto" w:fill="auto"/>
          </w:tcPr>
          <w:p w14:paraId="2DAB00E7" w14:textId="77777777" w:rsidR="009F5282" w:rsidRPr="009F5282" w:rsidRDefault="009F5282" w:rsidP="009F5282">
            <w:pPr>
              <w:rPr>
                <w:rFonts w:ascii="Verdana" w:hAnsi="Verdana" w:cs="Arial"/>
              </w:rPr>
            </w:pPr>
            <w:proofErr w:type="spellStart"/>
            <w:r w:rsidRPr="009F5282">
              <w:rPr>
                <w:rFonts w:ascii="Verdana" w:hAnsi="Verdana" w:cs="Arial"/>
                <w:b/>
                <w:bCs/>
              </w:rPr>
              <w:t>Yeztugo</w:t>
            </w:r>
            <w:proofErr w:type="spellEnd"/>
            <w:r w:rsidRPr="009F5282">
              <w:rPr>
                <w:rFonts w:ascii="Verdana" w:hAnsi="Verdana" w:cs="Arial"/>
              </w:rPr>
              <w:t xml:space="preserve"> (</w:t>
            </w:r>
            <w:proofErr w:type="spellStart"/>
            <w:r w:rsidRPr="009F5282">
              <w:rPr>
                <w:rFonts w:ascii="Verdana" w:hAnsi="Verdana" w:cs="Arial"/>
              </w:rPr>
              <w:t>lenacapavir</w:t>
            </w:r>
            <w:proofErr w:type="spellEnd"/>
            <w:r w:rsidRPr="009F5282">
              <w:rPr>
                <w:rFonts w:ascii="Verdana" w:hAnsi="Verdana" w:cs="Arial"/>
              </w:rPr>
              <w:t>) 300 tablets &amp; 463.5 mg/1.5 mL SQ vials for HIV Pre-Exposure Prophylaxis</w:t>
            </w:r>
          </w:p>
          <w:p w14:paraId="1D08328A" w14:textId="6E0D89A6" w:rsidR="00FB700B" w:rsidRPr="006547A2" w:rsidRDefault="00FB700B" w:rsidP="00FB700B">
            <w:pPr>
              <w:rPr>
                <w:rFonts w:ascii="Verdana" w:hAnsi="Verdana" w:cs="Arial"/>
              </w:rPr>
            </w:pPr>
          </w:p>
        </w:tc>
        <w:tc>
          <w:tcPr>
            <w:tcW w:w="4232" w:type="dxa"/>
            <w:shd w:val="clear" w:color="auto" w:fill="auto"/>
          </w:tcPr>
          <w:p w14:paraId="6179BDE3" w14:textId="77777777" w:rsidR="009F5282" w:rsidRPr="009F5282" w:rsidRDefault="009F5282" w:rsidP="009F5282">
            <w:pPr>
              <w:rPr>
                <w:rFonts w:ascii="Verdana" w:hAnsi="Verdana"/>
              </w:rPr>
            </w:pPr>
            <w:proofErr w:type="spellStart"/>
            <w:r w:rsidRPr="009F5282">
              <w:rPr>
                <w:rFonts w:ascii="Verdana" w:hAnsi="Verdana"/>
              </w:rPr>
              <w:t>Lenacapavir</w:t>
            </w:r>
            <w:proofErr w:type="spellEnd"/>
            <w:r w:rsidRPr="009F5282">
              <w:rPr>
                <w:rFonts w:ascii="Verdana" w:hAnsi="Verdana"/>
              </w:rPr>
              <w:t xml:space="preserve"> for HIV pre-exposure prophylaxis (</w:t>
            </w:r>
            <w:proofErr w:type="spellStart"/>
            <w:r w:rsidRPr="009F5282">
              <w:rPr>
                <w:rFonts w:ascii="Verdana" w:hAnsi="Verdana"/>
              </w:rPr>
              <w:t>PrEP</w:t>
            </w:r>
            <w:proofErr w:type="spellEnd"/>
            <w:r w:rsidRPr="009F5282">
              <w:rPr>
                <w:rFonts w:ascii="Verdana" w:hAnsi="Verdana"/>
              </w:rPr>
              <w:t xml:space="preserve">) recently launched under the new brand name </w:t>
            </w:r>
            <w:proofErr w:type="spellStart"/>
            <w:r w:rsidRPr="009F5282">
              <w:rPr>
                <w:rFonts w:ascii="Verdana" w:hAnsi="Verdana"/>
              </w:rPr>
              <w:t>Yeztugo</w:t>
            </w:r>
            <w:proofErr w:type="spellEnd"/>
            <w:r w:rsidRPr="009F5282">
              <w:rPr>
                <w:rFonts w:ascii="Verdana" w:hAnsi="Verdana"/>
              </w:rPr>
              <w:t xml:space="preserve">. </w:t>
            </w:r>
            <w:proofErr w:type="spellStart"/>
            <w:r w:rsidRPr="009F5282">
              <w:rPr>
                <w:rFonts w:ascii="Verdana" w:hAnsi="Verdana"/>
              </w:rPr>
              <w:t>Yeztugo</w:t>
            </w:r>
            <w:proofErr w:type="spellEnd"/>
            <w:r w:rsidRPr="009F5282">
              <w:rPr>
                <w:rFonts w:ascii="Verdana" w:hAnsi="Verdana"/>
              </w:rPr>
              <w:t xml:space="preserve"> is available in the same tablet and injection formulations as </w:t>
            </w:r>
            <w:proofErr w:type="spellStart"/>
            <w:r w:rsidRPr="009F5282">
              <w:rPr>
                <w:rFonts w:ascii="Verdana" w:hAnsi="Verdana"/>
              </w:rPr>
              <w:t>Sunlenca</w:t>
            </w:r>
            <w:proofErr w:type="spellEnd"/>
            <w:r w:rsidRPr="009F5282">
              <w:rPr>
                <w:rFonts w:ascii="Verdana" w:hAnsi="Verdana"/>
              </w:rPr>
              <w:t xml:space="preserve"> but is indicated for </w:t>
            </w:r>
            <w:proofErr w:type="spellStart"/>
            <w:r w:rsidRPr="009F5282">
              <w:rPr>
                <w:rFonts w:ascii="Verdana" w:hAnsi="Verdana"/>
              </w:rPr>
              <w:t>PrEP</w:t>
            </w:r>
            <w:proofErr w:type="spellEnd"/>
            <w:r w:rsidRPr="009F5282">
              <w:rPr>
                <w:rFonts w:ascii="Verdana" w:hAnsi="Verdana"/>
              </w:rPr>
              <w:t xml:space="preserve"> vs treatment. </w:t>
            </w:r>
          </w:p>
          <w:p w14:paraId="5E879233" w14:textId="14E02EDA" w:rsidR="00FB700B" w:rsidRPr="006547A2" w:rsidRDefault="00FB700B" w:rsidP="00FB700B">
            <w:pPr>
              <w:rPr>
                <w:rFonts w:ascii="Verdana" w:hAnsi="Verdana"/>
              </w:rPr>
            </w:pPr>
          </w:p>
        </w:tc>
        <w:tc>
          <w:tcPr>
            <w:tcW w:w="4096" w:type="dxa"/>
            <w:shd w:val="clear" w:color="auto" w:fill="auto"/>
          </w:tcPr>
          <w:p w14:paraId="53A7105E" w14:textId="6C187EBF" w:rsidR="009F5282" w:rsidRPr="009F5282" w:rsidRDefault="009F5282" w:rsidP="009F5282">
            <w:pPr>
              <w:rPr>
                <w:rFonts w:ascii="Verdana" w:hAnsi="Verdana"/>
              </w:rPr>
            </w:pPr>
            <w:r w:rsidRPr="009F5282">
              <w:rPr>
                <w:rFonts w:ascii="Verdana" w:hAnsi="Verdana"/>
              </w:rPr>
              <w:t>NF: Med</w:t>
            </w:r>
            <w:r>
              <w:rPr>
                <w:rFonts w:ascii="Verdana" w:hAnsi="Verdana"/>
              </w:rPr>
              <w:t>icare</w:t>
            </w:r>
            <w:r w:rsidRPr="009F5282">
              <w:rPr>
                <w:rFonts w:ascii="Verdana" w:hAnsi="Verdana"/>
              </w:rPr>
              <w:t>, PPO</w:t>
            </w:r>
          </w:p>
          <w:p w14:paraId="4B2BCD79" w14:textId="0F3D4CB2" w:rsidR="009F5282" w:rsidRPr="009F5282" w:rsidRDefault="009F5282" w:rsidP="009F5282">
            <w:pPr>
              <w:rPr>
                <w:rFonts w:ascii="Verdana" w:hAnsi="Verdana"/>
              </w:rPr>
            </w:pPr>
            <w:r w:rsidRPr="009F5282">
              <w:rPr>
                <w:rFonts w:ascii="Verdana" w:hAnsi="Verdana"/>
              </w:rPr>
              <w:t xml:space="preserve">F: IFP, </w:t>
            </w:r>
            <w:r w:rsidR="00D337DA">
              <w:rPr>
                <w:rFonts w:ascii="Verdana" w:hAnsi="Verdana"/>
              </w:rPr>
              <w:t>MA</w:t>
            </w:r>
          </w:p>
          <w:p w14:paraId="1200A5F7" w14:textId="30A8B7FC" w:rsidR="00FB700B" w:rsidRPr="006547A2" w:rsidRDefault="00FB700B" w:rsidP="00FB700B">
            <w:pPr>
              <w:rPr>
                <w:rFonts w:ascii="Verdana" w:hAnsi="Verdana"/>
              </w:rPr>
            </w:pPr>
          </w:p>
        </w:tc>
      </w:tr>
      <w:tr w:rsidR="00FB700B" w:rsidRPr="006547A2" w14:paraId="1C0D0A18" w14:textId="77777777" w:rsidTr="00876AB4">
        <w:tc>
          <w:tcPr>
            <w:tcW w:w="2589" w:type="dxa"/>
            <w:shd w:val="clear" w:color="auto" w:fill="auto"/>
          </w:tcPr>
          <w:p w14:paraId="7F1B3229" w14:textId="77777777" w:rsidR="009F5282" w:rsidRPr="009F5282" w:rsidRDefault="009F5282" w:rsidP="009F5282">
            <w:pPr>
              <w:rPr>
                <w:rFonts w:ascii="Verdana" w:hAnsi="Verdana" w:cs="Arial"/>
              </w:rPr>
            </w:pPr>
            <w:proofErr w:type="spellStart"/>
            <w:r w:rsidRPr="009F5282">
              <w:rPr>
                <w:rFonts w:ascii="Verdana" w:hAnsi="Verdana" w:cs="Arial"/>
                <w:b/>
                <w:bCs/>
              </w:rPr>
              <w:t>Yutrepia</w:t>
            </w:r>
            <w:proofErr w:type="spellEnd"/>
            <w:r w:rsidRPr="009F5282">
              <w:rPr>
                <w:rFonts w:ascii="Verdana" w:hAnsi="Verdana" w:cs="Arial"/>
              </w:rPr>
              <w:t xml:space="preserve"> (</w:t>
            </w:r>
            <w:proofErr w:type="spellStart"/>
            <w:r w:rsidRPr="009F5282">
              <w:rPr>
                <w:rFonts w:ascii="Verdana" w:hAnsi="Verdana" w:cs="Arial"/>
              </w:rPr>
              <w:t>treprostinil</w:t>
            </w:r>
            <w:proofErr w:type="spellEnd"/>
            <w:r w:rsidRPr="009F5282">
              <w:rPr>
                <w:rFonts w:ascii="Verdana" w:hAnsi="Verdana" w:cs="Arial"/>
              </w:rPr>
              <w:t>) 26.5, 53, 79.5 &amp; 106 mcg inhalation capsule for pulmonary arterial</w:t>
            </w:r>
          </w:p>
          <w:p w14:paraId="516058B0" w14:textId="77777777" w:rsidR="009F5282" w:rsidRPr="009F5282" w:rsidRDefault="009F5282" w:rsidP="009F5282">
            <w:pPr>
              <w:rPr>
                <w:rFonts w:ascii="Verdana" w:hAnsi="Verdana" w:cs="Arial"/>
              </w:rPr>
            </w:pPr>
            <w:r w:rsidRPr="009F5282">
              <w:rPr>
                <w:rFonts w:ascii="Verdana" w:hAnsi="Verdana" w:cs="Arial"/>
              </w:rPr>
              <w:t xml:space="preserve">hypertension &amp; pulmonary hypertension associated with </w:t>
            </w:r>
            <w:r w:rsidRPr="009F5282">
              <w:rPr>
                <w:rFonts w:ascii="Verdana" w:hAnsi="Verdana" w:cs="Arial"/>
              </w:rPr>
              <w:lastRenderedPageBreak/>
              <w:t>interstitial lung disease</w:t>
            </w:r>
          </w:p>
          <w:p w14:paraId="2FAC7839" w14:textId="3189E4C6" w:rsidR="00FB700B" w:rsidRPr="006547A2" w:rsidRDefault="00FB700B" w:rsidP="00FB700B">
            <w:pPr>
              <w:rPr>
                <w:rFonts w:ascii="Verdana" w:hAnsi="Verdana" w:cs="Arial"/>
              </w:rPr>
            </w:pPr>
          </w:p>
        </w:tc>
        <w:tc>
          <w:tcPr>
            <w:tcW w:w="4232" w:type="dxa"/>
            <w:shd w:val="clear" w:color="auto" w:fill="auto"/>
          </w:tcPr>
          <w:p w14:paraId="365DB272" w14:textId="77777777" w:rsidR="009F5282" w:rsidRPr="009F5282" w:rsidRDefault="009F5282" w:rsidP="009F5282">
            <w:pPr>
              <w:rPr>
                <w:rFonts w:ascii="Verdana" w:hAnsi="Verdana"/>
              </w:rPr>
            </w:pPr>
            <w:proofErr w:type="spellStart"/>
            <w:r w:rsidRPr="009F5282">
              <w:rPr>
                <w:rFonts w:ascii="Verdana" w:hAnsi="Verdana"/>
              </w:rPr>
              <w:lastRenderedPageBreak/>
              <w:t>Yutrepia</w:t>
            </w:r>
            <w:proofErr w:type="spellEnd"/>
            <w:r w:rsidRPr="009F5282">
              <w:rPr>
                <w:rFonts w:ascii="Verdana" w:hAnsi="Verdana"/>
              </w:rPr>
              <w:t xml:space="preserve"> is a new 505(b)(2) approved inhaled </w:t>
            </w:r>
            <w:proofErr w:type="spellStart"/>
            <w:r w:rsidRPr="009F5282">
              <w:rPr>
                <w:rFonts w:ascii="Verdana" w:hAnsi="Verdana"/>
              </w:rPr>
              <w:t>treprostinil</w:t>
            </w:r>
            <w:proofErr w:type="spellEnd"/>
            <w:r w:rsidRPr="009F5282">
              <w:rPr>
                <w:rFonts w:ascii="Verdana" w:hAnsi="Verdana"/>
              </w:rPr>
              <w:t xml:space="preserve"> product. This is marketed to compete with Tyvaso and Tyvaso DPI for the treatment of pulmonary arterial hypertension</w:t>
            </w:r>
          </w:p>
          <w:p w14:paraId="068CF62E" w14:textId="18668F08" w:rsidR="00FB700B" w:rsidRPr="006547A2" w:rsidRDefault="00FB700B" w:rsidP="00FB700B">
            <w:pPr>
              <w:rPr>
                <w:rFonts w:ascii="Verdana" w:hAnsi="Verdana"/>
              </w:rPr>
            </w:pPr>
          </w:p>
        </w:tc>
        <w:tc>
          <w:tcPr>
            <w:tcW w:w="4096" w:type="dxa"/>
            <w:shd w:val="clear" w:color="auto" w:fill="auto"/>
          </w:tcPr>
          <w:p w14:paraId="68CD0386" w14:textId="490A85A7" w:rsidR="00FB700B" w:rsidRPr="006547A2" w:rsidRDefault="00FB700B" w:rsidP="00FB70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NF: all lines of business</w:t>
            </w:r>
          </w:p>
        </w:tc>
      </w:tr>
      <w:tr w:rsidR="00FB700B" w:rsidRPr="006547A2" w14:paraId="213E30D5" w14:textId="77777777" w:rsidTr="00876AB4">
        <w:tc>
          <w:tcPr>
            <w:tcW w:w="2589" w:type="dxa"/>
            <w:shd w:val="clear" w:color="auto" w:fill="auto"/>
          </w:tcPr>
          <w:p w14:paraId="57ADD1DA" w14:textId="77777777" w:rsidR="009F5282" w:rsidRPr="009F5282" w:rsidRDefault="009F5282" w:rsidP="009F5282">
            <w:pPr>
              <w:rPr>
                <w:rFonts w:ascii="Verdana" w:hAnsi="Verdana" w:cs="Arial"/>
              </w:rPr>
            </w:pPr>
            <w:proofErr w:type="spellStart"/>
            <w:r w:rsidRPr="009F5282">
              <w:rPr>
                <w:rFonts w:ascii="Verdana" w:hAnsi="Verdana" w:cs="Arial"/>
                <w:b/>
                <w:bCs/>
              </w:rPr>
              <w:t>Vyvgart</w:t>
            </w:r>
            <w:proofErr w:type="spellEnd"/>
            <w:r w:rsidRPr="009F5282">
              <w:rPr>
                <w:rFonts w:ascii="Verdana" w:hAnsi="Verdana" w:cs="Arial"/>
                <w:b/>
                <w:bCs/>
              </w:rPr>
              <w:t xml:space="preserve"> </w:t>
            </w:r>
            <w:proofErr w:type="spellStart"/>
            <w:r w:rsidRPr="009F5282">
              <w:rPr>
                <w:rFonts w:ascii="Verdana" w:hAnsi="Verdana" w:cs="Arial"/>
                <w:b/>
                <w:bCs/>
              </w:rPr>
              <w:t>Hytrulo</w:t>
            </w:r>
            <w:proofErr w:type="spellEnd"/>
            <w:r w:rsidRPr="009F5282">
              <w:rPr>
                <w:rFonts w:ascii="Verdana" w:hAnsi="Verdana" w:cs="Arial"/>
                <w:b/>
                <w:bCs/>
              </w:rPr>
              <w:t xml:space="preserve"> </w:t>
            </w:r>
            <w:r w:rsidRPr="009F5282">
              <w:rPr>
                <w:rFonts w:ascii="Verdana" w:hAnsi="Verdana" w:cs="Arial"/>
              </w:rPr>
              <w:t>(efgartigimod</w:t>
            </w:r>
          </w:p>
          <w:p w14:paraId="42588883" w14:textId="77777777" w:rsidR="009F5282" w:rsidRPr="009F5282" w:rsidRDefault="009F5282" w:rsidP="009F5282">
            <w:pPr>
              <w:rPr>
                <w:rFonts w:ascii="Verdana" w:hAnsi="Verdana" w:cs="Arial"/>
              </w:rPr>
            </w:pPr>
            <w:r w:rsidRPr="009F5282">
              <w:rPr>
                <w:rFonts w:ascii="Verdana" w:hAnsi="Verdana" w:cs="Arial"/>
              </w:rPr>
              <w:t>alfa and hyaluronidase) 1000 mg- 10,000 units/5 mL PFS for generalized myasthenia gravis &amp; chronic inflammatory demyelinating polyneuropathy</w:t>
            </w:r>
          </w:p>
          <w:p w14:paraId="43A1A4DD" w14:textId="121A429E" w:rsidR="00FB700B" w:rsidRPr="006547A2" w:rsidRDefault="00FB700B" w:rsidP="00FB700B">
            <w:pPr>
              <w:rPr>
                <w:rFonts w:ascii="Verdana" w:hAnsi="Verdana" w:cs="Arial"/>
              </w:rPr>
            </w:pPr>
          </w:p>
        </w:tc>
        <w:tc>
          <w:tcPr>
            <w:tcW w:w="4232" w:type="dxa"/>
            <w:shd w:val="clear" w:color="auto" w:fill="auto"/>
          </w:tcPr>
          <w:p w14:paraId="7B9B3797" w14:textId="77777777" w:rsidR="009F5282" w:rsidRPr="009F5282" w:rsidRDefault="009F5282" w:rsidP="009F5282">
            <w:pPr>
              <w:rPr>
                <w:rFonts w:ascii="Verdana" w:hAnsi="Verdana"/>
              </w:rPr>
            </w:pPr>
            <w:r w:rsidRPr="009F5282">
              <w:rPr>
                <w:rFonts w:ascii="Verdana" w:hAnsi="Verdana"/>
              </w:rPr>
              <w:t>A new prefilled syringe formulation has launched which is labeled to allow for self- or caregiver-administration, rather than being limited to healthcare provider administration.</w:t>
            </w:r>
          </w:p>
          <w:p w14:paraId="2B3E8E4C" w14:textId="46EF0840" w:rsidR="00FB700B" w:rsidRPr="006547A2" w:rsidRDefault="00FB700B" w:rsidP="00FB700B">
            <w:pPr>
              <w:rPr>
                <w:rFonts w:ascii="Verdana" w:hAnsi="Verdana"/>
              </w:rPr>
            </w:pPr>
          </w:p>
        </w:tc>
        <w:tc>
          <w:tcPr>
            <w:tcW w:w="4096" w:type="dxa"/>
            <w:shd w:val="clear" w:color="auto" w:fill="auto"/>
          </w:tcPr>
          <w:p w14:paraId="56550E83" w14:textId="77777777" w:rsidR="009F5282" w:rsidRPr="009F5282" w:rsidRDefault="009F5282" w:rsidP="009F5282">
            <w:pPr>
              <w:rPr>
                <w:rFonts w:ascii="Verdana" w:hAnsi="Verdana"/>
              </w:rPr>
            </w:pPr>
            <w:r w:rsidRPr="009F5282">
              <w:rPr>
                <w:rFonts w:ascii="Verdana" w:hAnsi="Verdana"/>
              </w:rPr>
              <w:t>NF: all lines of business</w:t>
            </w:r>
          </w:p>
          <w:p w14:paraId="19E5D58D" w14:textId="2E92F1DA" w:rsidR="00FB700B" w:rsidRPr="006547A2" w:rsidRDefault="00FB700B" w:rsidP="00FB700B">
            <w:pPr>
              <w:rPr>
                <w:rFonts w:ascii="Verdana" w:hAnsi="Verdana"/>
              </w:rPr>
            </w:pPr>
          </w:p>
        </w:tc>
      </w:tr>
      <w:tr w:rsidR="00FB700B" w:rsidRPr="006547A2" w14:paraId="3F73FA08" w14:textId="77777777" w:rsidTr="00876AB4">
        <w:tc>
          <w:tcPr>
            <w:tcW w:w="2589" w:type="dxa"/>
            <w:shd w:val="clear" w:color="auto" w:fill="auto"/>
          </w:tcPr>
          <w:p w14:paraId="0F1F8569" w14:textId="77777777" w:rsidR="009F5282" w:rsidRPr="009F5282" w:rsidRDefault="009F5282" w:rsidP="009F5282">
            <w:pPr>
              <w:rPr>
                <w:rFonts w:ascii="Verdana" w:hAnsi="Verdana" w:cs="Arial"/>
              </w:rPr>
            </w:pPr>
            <w:proofErr w:type="spellStart"/>
            <w:r w:rsidRPr="009F5282">
              <w:rPr>
                <w:rFonts w:ascii="Verdana" w:hAnsi="Verdana" w:cs="Arial"/>
                <w:b/>
                <w:bCs/>
              </w:rPr>
              <w:t>Arbli</w:t>
            </w:r>
            <w:proofErr w:type="spellEnd"/>
            <w:r w:rsidRPr="009F5282">
              <w:rPr>
                <w:rFonts w:ascii="Verdana" w:hAnsi="Verdana" w:cs="Arial"/>
                <w:b/>
                <w:bCs/>
              </w:rPr>
              <w:t xml:space="preserve"> </w:t>
            </w:r>
            <w:r w:rsidRPr="009F5282">
              <w:rPr>
                <w:rFonts w:ascii="Verdana" w:hAnsi="Verdana" w:cs="Arial"/>
              </w:rPr>
              <w:t>(losartan) 10 mg/mL oral suspension for hypertension</w:t>
            </w:r>
          </w:p>
          <w:p w14:paraId="74C27BEC" w14:textId="38C8A956" w:rsidR="00FB700B" w:rsidRPr="006547A2" w:rsidRDefault="00FB700B" w:rsidP="00FB700B">
            <w:pPr>
              <w:rPr>
                <w:rFonts w:ascii="Verdana" w:hAnsi="Verdana" w:cs="Arial"/>
              </w:rPr>
            </w:pPr>
          </w:p>
        </w:tc>
        <w:tc>
          <w:tcPr>
            <w:tcW w:w="4232" w:type="dxa"/>
            <w:shd w:val="clear" w:color="auto" w:fill="auto"/>
          </w:tcPr>
          <w:p w14:paraId="0F17DE21" w14:textId="77777777" w:rsidR="009F5282" w:rsidRPr="009F5282" w:rsidRDefault="009F5282" w:rsidP="009F5282">
            <w:pPr>
              <w:rPr>
                <w:rFonts w:ascii="Verdana" w:hAnsi="Verdana"/>
              </w:rPr>
            </w:pPr>
            <w:r w:rsidRPr="009F5282">
              <w:rPr>
                <w:rFonts w:ascii="Verdana" w:hAnsi="Verdana"/>
              </w:rPr>
              <w:t xml:space="preserve">A new commercialized losartan oral suspension product has launched under the brand name </w:t>
            </w:r>
            <w:proofErr w:type="spellStart"/>
            <w:r w:rsidRPr="009F5282">
              <w:rPr>
                <w:rFonts w:ascii="Verdana" w:hAnsi="Verdana"/>
              </w:rPr>
              <w:t>Arbli</w:t>
            </w:r>
            <w:proofErr w:type="spellEnd"/>
            <w:r w:rsidRPr="009F5282">
              <w:rPr>
                <w:rFonts w:ascii="Verdana" w:hAnsi="Verdana"/>
              </w:rPr>
              <w:t>. It is indicated for use in children as young as six years old.</w:t>
            </w:r>
          </w:p>
          <w:p w14:paraId="641902AB" w14:textId="147A7434" w:rsidR="00FB700B" w:rsidRPr="006547A2" w:rsidRDefault="00FB700B" w:rsidP="00FB700B">
            <w:pPr>
              <w:rPr>
                <w:rFonts w:ascii="Verdana" w:hAnsi="Verdana"/>
              </w:rPr>
            </w:pPr>
          </w:p>
        </w:tc>
        <w:tc>
          <w:tcPr>
            <w:tcW w:w="4096" w:type="dxa"/>
            <w:shd w:val="clear" w:color="auto" w:fill="auto"/>
          </w:tcPr>
          <w:p w14:paraId="2E8856BA" w14:textId="6D53CF74" w:rsidR="00FB700B" w:rsidRPr="006547A2" w:rsidRDefault="00FB700B" w:rsidP="00FB70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NF: all lines of business</w:t>
            </w:r>
          </w:p>
        </w:tc>
      </w:tr>
      <w:tr w:rsidR="00FB700B" w:rsidRPr="006547A2" w14:paraId="12071E5F" w14:textId="77777777" w:rsidTr="00876AB4">
        <w:tc>
          <w:tcPr>
            <w:tcW w:w="2589" w:type="dxa"/>
            <w:shd w:val="clear" w:color="auto" w:fill="auto"/>
          </w:tcPr>
          <w:p w14:paraId="4ECD1AB5" w14:textId="77777777" w:rsidR="009F5282" w:rsidRPr="009F5282" w:rsidRDefault="009F5282" w:rsidP="009F5282">
            <w:pPr>
              <w:rPr>
                <w:rFonts w:ascii="Verdana" w:hAnsi="Verdana" w:cs="Arial"/>
              </w:rPr>
            </w:pPr>
            <w:proofErr w:type="spellStart"/>
            <w:r w:rsidRPr="009F5282">
              <w:rPr>
                <w:rFonts w:ascii="Verdana" w:hAnsi="Verdana" w:cs="Arial"/>
                <w:b/>
                <w:bCs/>
              </w:rPr>
              <w:t>Fanapt</w:t>
            </w:r>
            <w:proofErr w:type="spellEnd"/>
            <w:r w:rsidRPr="009F5282">
              <w:rPr>
                <w:rFonts w:ascii="Verdana" w:hAnsi="Verdana" w:cs="Arial"/>
              </w:rPr>
              <w:t xml:space="preserve"> (iloperidone) 1, 2, 6, &amp; 8mg + 1, 2, &amp; 6 mg titration packs for schizophrenia &amp; bipolar I</w:t>
            </w:r>
          </w:p>
          <w:p w14:paraId="7829FC68" w14:textId="051515CC" w:rsidR="00FB700B" w:rsidRPr="006547A2" w:rsidRDefault="00FB700B" w:rsidP="00FB700B">
            <w:pPr>
              <w:rPr>
                <w:rFonts w:ascii="Verdana" w:hAnsi="Verdana" w:cs="Arial"/>
              </w:rPr>
            </w:pPr>
          </w:p>
        </w:tc>
        <w:tc>
          <w:tcPr>
            <w:tcW w:w="4232" w:type="dxa"/>
            <w:shd w:val="clear" w:color="auto" w:fill="auto"/>
          </w:tcPr>
          <w:p w14:paraId="57BC925E" w14:textId="77777777" w:rsidR="009F5282" w:rsidRPr="009F5282" w:rsidRDefault="009F5282" w:rsidP="009F5282">
            <w:pPr>
              <w:rPr>
                <w:rFonts w:ascii="Verdana" w:hAnsi="Verdana"/>
              </w:rPr>
            </w:pPr>
            <w:r w:rsidRPr="009F5282">
              <w:rPr>
                <w:rFonts w:ascii="Verdana" w:hAnsi="Verdana"/>
              </w:rPr>
              <w:t>Two new titration packs are launching, to accommodate additional dosing schedules for new starts.</w:t>
            </w:r>
          </w:p>
          <w:p w14:paraId="7DC522E1" w14:textId="628B9E2E" w:rsidR="00FB700B" w:rsidRPr="006547A2" w:rsidRDefault="00FB700B" w:rsidP="00FB700B">
            <w:pPr>
              <w:rPr>
                <w:rFonts w:ascii="Verdana" w:hAnsi="Verdana"/>
              </w:rPr>
            </w:pPr>
          </w:p>
        </w:tc>
        <w:tc>
          <w:tcPr>
            <w:tcW w:w="4096" w:type="dxa"/>
            <w:shd w:val="clear" w:color="auto" w:fill="auto"/>
          </w:tcPr>
          <w:p w14:paraId="39B13BF0" w14:textId="5B7F3A67" w:rsidR="009F5282" w:rsidRPr="009F5282" w:rsidRDefault="009F5282" w:rsidP="009F5282">
            <w:pPr>
              <w:rPr>
                <w:rFonts w:ascii="Verdana" w:hAnsi="Verdana"/>
              </w:rPr>
            </w:pPr>
            <w:r w:rsidRPr="009F5282">
              <w:rPr>
                <w:rFonts w:ascii="Verdana" w:hAnsi="Verdana"/>
              </w:rPr>
              <w:t>F: Med</w:t>
            </w:r>
            <w:r>
              <w:rPr>
                <w:rFonts w:ascii="Verdana" w:hAnsi="Verdana"/>
              </w:rPr>
              <w:t>icare</w:t>
            </w:r>
            <w:r w:rsidRPr="009F5282">
              <w:rPr>
                <w:rFonts w:ascii="Verdana" w:hAnsi="Verdana"/>
              </w:rPr>
              <w:t>, PPO</w:t>
            </w:r>
          </w:p>
          <w:p w14:paraId="5F554366" w14:textId="77777777" w:rsidR="009F5282" w:rsidRPr="009F5282" w:rsidRDefault="009F5282" w:rsidP="009F5282">
            <w:pPr>
              <w:rPr>
                <w:rFonts w:ascii="Verdana" w:hAnsi="Verdana"/>
              </w:rPr>
            </w:pPr>
            <w:r w:rsidRPr="009F5282">
              <w:rPr>
                <w:rFonts w:ascii="Verdana" w:hAnsi="Verdana"/>
              </w:rPr>
              <w:t>NF: IFP</w:t>
            </w:r>
          </w:p>
          <w:p w14:paraId="65077865" w14:textId="432D8EAF" w:rsidR="009F5282" w:rsidRPr="009F5282" w:rsidRDefault="00D337DA" w:rsidP="009F528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</w:t>
            </w:r>
            <w:r w:rsidR="009F5282" w:rsidRPr="009F5282">
              <w:rPr>
                <w:rFonts w:ascii="Verdana" w:hAnsi="Verdana"/>
              </w:rPr>
              <w:t>: NP</w:t>
            </w:r>
          </w:p>
          <w:p w14:paraId="0ED810BF" w14:textId="363566B0" w:rsidR="00FB700B" w:rsidRPr="006547A2" w:rsidRDefault="00FB700B" w:rsidP="00FB700B">
            <w:pPr>
              <w:rPr>
                <w:rFonts w:ascii="Verdana" w:hAnsi="Verdana"/>
              </w:rPr>
            </w:pPr>
          </w:p>
        </w:tc>
      </w:tr>
      <w:tr w:rsidR="00FB700B" w:rsidRPr="006547A2" w14:paraId="441BB526" w14:textId="77777777" w:rsidTr="00876AB4">
        <w:tc>
          <w:tcPr>
            <w:tcW w:w="2589" w:type="dxa"/>
            <w:shd w:val="clear" w:color="auto" w:fill="auto"/>
          </w:tcPr>
          <w:p w14:paraId="398C2D44" w14:textId="77777777" w:rsidR="009F5282" w:rsidRPr="009F5282" w:rsidRDefault="009F5282" w:rsidP="009F5282">
            <w:pPr>
              <w:rPr>
                <w:rFonts w:ascii="Verdana" w:hAnsi="Verdana" w:cs="Arial"/>
              </w:rPr>
            </w:pPr>
            <w:r w:rsidRPr="009F5282">
              <w:rPr>
                <w:rFonts w:ascii="Verdana" w:hAnsi="Verdana" w:cs="Arial"/>
                <w:lang w:val="da-DK"/>
              </w:rPr>
              <w:t>Lopressor (</w:t>
            </w:r>
            <w:r w:rsidRPr="009F5282">
              <w:rPr>
                <w:rFonts w:ascii="Verdana" w:hAnsi="Verdana" w:cs="Arial"/>
                <w:b/>
                <w:bCs/>
                <w:lang w:val="da-DK"/>
              </w:rPr>
              <w:t>metoprolol</w:t>
            </w:r>
            <w:r w:rsidRPr="009F5282">
              <w:rPr>
                <w:rFonts w:ascii="Verdana" w:hAnsi="Verdana" w:cs="Arial"/>
                <w:lang w:val="da-DK"/>
              </w:rPr>
              <w:t>) 10mg/mL oral solution for hypertension &amp; angina</w:t>
            </w:r>
          </w:p>
          <w:p w14:paraId="2B9C35FC" w14:textId="14F1E683" w:rsidR="00FB700B" w:rsidRPr="006547A2" w:rsidRDefault="00FB700B" w:rsidP="00FB700B">
            <w:pPr>
              <w:rPr>
                <w:rFonts w:ascii="Verdana" w:hAnsi="Verdana" w:cs="Arial"/>
              </w:rPr>
            </w:pPr>
          </w:p>
        </w:tc>
        <w:tc>
          <w:tcPr>
            <w:tcW w:w="4232" w:type="dxa"/>
            <w:shd w:val="clear" w:color="auto" w:fill="auto"/>
          </w:tcPr>
          <w:p w14:paraId="111F4B52" w14:textId="77777777" w:rsidR="009F5282" w:rsidRPr="009F5282" w:rsidRDefault="009F5282" w:rsidP="009F5282">
            <w:pPr>
              <w:rPr>
                <w:rFonts w:ascii="Verdana" w:hAnsi="Verdana"/>
              </w:rPr>
            </w:pPr>
            <w:r w:rsidRPr="009F5282">
              <w:rPr>
                <w:rFonts w:ascii="Verdana" w:hAnsi="Verdana"/>
              </w:rPr>
              <w:t xml:space="preserve">Metoprolol tartrate oral solution is now available in a 10 mg/mL strength </w:t>
            </w:r>
          </w:p>
          <w:p w14:paraId="22CFD938" w14:textId="4BF0FDBF" w:rsidR="00FB700B" w:rsidRPr="006547A2" w:rsidRDefault="00FB700B" w:rsidP="00FB700B">
            <w:pPr>
              <w:rPr>
                <w:rFonts w:ascii="Verdana" w:hAnsi="Verdana"/>
              </w:rPr>
            </w:pPr>
          </w:p>
        </w:tc>
        <w:tc>
          <w:tcPr>
            <w:tcW w:w="4096" w:type="dxa"/>
            <w:shd w:val="clear" w:color="auto" w:fill="auto"/>
          </w:tcPr>
          <w:p w14:paraId="1ACCF690" w14:textId="0E685DE6" w:rsidR="00FB700B" w:rsidRPr="006547A2" w:rsidRDefault="00FB700B" w:rsidP="00FB70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NF: all lines of business</w:t>
            </w:r>
          </w:p>
        </w:tc>
      </w:tr>
      <w:tr w:rsidR="00FB700B" w:rsidRPr="006547A2" w14:paraId="602D44F3" w14:textId="77777777" w:rsidTr="00876AB4">
        <w:tc>
          <w:tcPr>
            <w:tcW w:w="2589" w:type="dxa"/>
            <w:shd w:val="clear" w:color="auto" w:fill="auto"/>
          </w:tcPr>
          <w:p w14:paraId="5450DC3D" w14:textId="77777777" w:rsidR="009F5282" w:rsidRPr="009F5282" w:rsidRDefault="009F5282" w:rsidP="009F5282">
            <w:pPr>
              <w:rPr>
                <w:rFonts w:ascii="Verdana" w:hAnsi="Verdana" w:cs="Arial"/>
              </w:rPr>
            </w:pPr>
            <w:r w:rsidRPr="009F5282">
              <w:rPr>
                <w:rFonts w:ascii="Verdana" w:hAnsi="Verdana" w:cs="Arial"/>
                <w:b/>
                <w:bCs/>
              </w:rPr>
              <w:t>Averi</w:t>
            </w:r>
            <w:r w:rsidRPr="009F5282">
              <w:rPr>
                <w:rFonts w:ascii="Verdana" w:hAnsi="Verdana" w:cs="Arial"/>
              </w:rPr>
              <w:t xml:space="preserve"> (</w:t>
            </w:r>
            <w:proofErr w:type="spellStart"/>
            <w:r w:rsidRPr="009F5282">
              <w:rPr>
                <w:rFonts w:ascii="Verdana" w:hAnsi="Verdana" w:cs="Arial"/>
              </w:rPr>
              <w:t>desogestrel</w:t>
            </w:r>
            <w:proofErr w:type="spellEnd"/>
            <w:r w:rsidRPr="009F5282">
              <w:rPr>
                <w:rFonts w:ascii="Verdana" w:hAnsi="Verdana" w:cs="Arial"/>
              </w:rPr>
              <w:t>-ethinyl estradiol-Fe) 0.15-0.3 mg tablet for contraception</w:t>
            </w:r>
          </w:p>
          <w:p w14:paraId="37AD2500" w14:textId="1F24FA4C" w:rsidR="00FB700B" w:rsidRPr="006547A2" w:rsidRDefault="00FB700B" w:rsidP="00FB700B">
            <w:pPr>
              <w:rPr>
                <w:rFonts w:ascii="Verdana" w:hAnsi="Verdana" w:cs="Arial"/>
              </w:rPr>
            </w:pPr>
          </w:p>
        </w:tc>
        <w:tc>
          <w:tcPr>
            <w:tcW w:w="4232" w:type="dxa"/>
            <w:shd w:val="clear" w:color="auto" w:fill="auto"/>
          </w:tcPr>
          <w:p w14:paraId="4D3A9D64" w14:textId="77777777" w:rsidR="009F5282" w:rsidRPr="009F5282" w:rsidRDefault="009F5282" w:rsidP="009F5282">
            <w:pPr>
              <w:rPr>
                <w:rFonts w:ascii="Verdana" w:hAnsi="Verdana"/>
              </w:rPr>
            </w:pPr>
            <w:r w:rsidRPr="009F5282">
              <w:rPr>
                <w:rFonts w:ascii="Verdana" w:hAnsi="Verdana"/>
              </w:rPr>
              <w:t xml:space="preserve">Averi oral contraceptive tablets contain </w:t>
            </w:r>
            <w:proofErr w:type="spellStart"/>
            <w:r w:rsidRPr="009F5282">
              <w:rPr>
                <w:rFonts w:ascii="Verdana" w:hAnsi="Verdana"/>
              </w:rPr>
              <w:t>desogestrel</w:t>
            </w:r>
            <w:proofErr w:type="spellEnd"/>
            <w:r w:rsidRPr="009F5282">
              <w:rPr>
                <w:rFonts w:ascii="Verdana" w:hAnsi="Verdana"/>
              </w:rPr>
              <w:t xml:space="preserve">, ethinyl estradiol, and iron. The cost is </w:t>
            </w:r>
            <w:proofErr w:type="gramStart"/>
            <w:r w:rsidRPr="009F5282">
              <w:rPr>
                <w:rFonts w:ascii="Verdana" w:hAnsi="Verdana"/>
              </w:rPr>
              <w:t>similar to</w:t>
            </w:r>
            <w:proofErr w:type="gramEnd"/>
            <w:r w:rsidRPr="009F5282">
              <w:rPr>
                <w:rFonts w:ascii="Verdana" w:hAnsi="Verdana"/>
              </w:rPr>
              <w:t xml:space="preserve"> other single-source brand oral contraceptives.</w:t>
            </w:r>
          </w:p>
          <w:p w14:paraId="0871309E" w14:textId="26110B3C" w:rsidR="00FB700B" w:rsidRPr="006547A2" w:rsidRDefault="00FB700B" w:rsidP="00FB700B">
            <w:pPr>
              <w:rPr>
                <w:rFonts w:ascii="Verdana" w:hAnsi="Verdana"/>
              </w:rPr>
            </w:pPr>
          </w:p>
        </w:tc>
        <w:tc>
          <w:tcPr>
            <w:tcW w:w="4096" w:type="dxa"/>
            <w:shd w:val="clear" w:color="auto" w:fill="auto"/>
          </w:tcPr>
          <w:p w14:paraId="7962D90A" w14:textId="55123901" w:rsidR="00FB700B" w:rsidRPr="006547A2" w:rsidRDefault="009F5282" w:rsidP="00FB70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</w:t>
            </w:r>
            <w:r w:rsidR="00FB700B">
              <w:rPr>
                <w:rFonts w:ascii="Verdana" w:hAnsi="Verdana"/>
              </w:rPr>
              <w:t>F: all lines of business</w:t>
            </w:r>
          </w:p>
        </w:tc>
      </w:tr>
      <w:tr w:rsidR="00FB700B" w:rsidRPr="006547A2" w14:paraId="413C099F" w14:textId="77777777" w:rsidTr="00876AB4">
        <w:tc>
          <w:tcPr>
            <w:tcW w:w="2589" w:type="dxa"/>
            <w:shd w:val="clear" w:color="auto" w:fill="auto"/>
          </w:tcPr>
          <w:p w14:paraId="66509FD2" w14:textId="77777777" w:rsidR="009F5282" w:rsidRPr="009F5282" w:rsidRDefault="009F5282" w:rsidP="009F5282">
            <w:pPr>
              <w:rPr>
                <w:rFonts w:ascii="Verdana" w:hAnsi="Verdana" w:cs="Arial"/>
              </w:rPr>
            </w:pPr>
            <w:r w:rsidRPr="009F5282">
              <w:rPr>
                <w:rFonts w:ascii="Verdana" w:hAnsi="Verdana" w:cs="Arial"/>
                <w:b/>
                <w:bCs/>
                <w:lang w:val="nb-NO"/>
              </w:rPr>
              <w:t>Ibuprofen</w:t>
            </w:r>
            <w:r w:rsidRPr="009F5282">
              <w:rPr>
                <w:rFonts w:ascii="Verdana" w:hAnsi="Verdana" w:cs="Arial"/>
                <w:lang w:val="nb-NO"/>
              </w:rPr>
              <w:t xml:space="preserve"> 300 mg tablet for pain</w:t>
            </w:r>
          </w:p>
          <w:p w14:paraId="7E52A175" w14:textId="4D619C54" w:rsidR="00FB700B" w:rsidRPr="006547A2" w:rsidRDefault="00FB700B" w:rsidP="00FB700B">
            <w:pPr>
              <w:rPr>
                <w:rFonts w:ascii="Verdana" w:hAnsi="Verdana" w:cs="Arial"/>
              </w:rPr>
            </w:pPr>
          </w:p>
        </w:tc>
        <w:tc>
          <w:tcPr>
            <w:tcW w:w="4232" w:type="dxa"/>
            <w:shd w:val="clear" w:color="auto" w:fill="auto"/>
          </w:tcPr>
          <w:p w14:paraId="2AA9C740" w14:textId="77777777" w:rsidR="009F5282" w:rsidRPr="009F5282" w:rsidRDefault="009F5282" w:rsidP="009F5282">
            <w:pPr>
              <w:rPr>
                <w:rFonts w:ascii="Verdana" w:hAnsi="Verdana"/>
              </w:rPr>
            </w:pPr>
            <w:r w:rsidRPr="009F5282">
              <w:rPr>
                <w:rFonts w:ascii="Verdana" w:hAnsi="Verdana"/>
              </w:rPr>
              <w:t xml:space="preserve">A new tablet formulation of ibuprofen was approved through the generic approval pathway. This product provides a 300 mg strength, which has been </w:t>
            </w:r>
            <w:r w:rsidRPr="009F5282">
              <w:rPr>
                <w:rFonts w:ascii="Verdana" w:hAnsi="Verdana"/>
              </w:rPr>
              <w:lastRenderedPageBreak/>
              <w:t>discontinued for years. $13 per tablet</w:t>
            </w:r>
          </w:p>
          <w:p w14:paraId="4308F632" w14:textId="68A2ECC1" w:rsidR="00FB700B" w:rsidRPr="006547A2" w:rsidRDefault="00FB700B" w:rsidP="00FB700B">
            <w:pPr>
              <w:rPr>
                <w:rFonts w:ascii="Verdana" w:hAnsi="Verdana"/>
              </w:rPr>
            </w:pPr>
          </w:p>
        </w:tc>
        <w:tc>
          <w:tcPr>
            <w:tcW w:w="4096" w:type="dxa"/>
            <w:shd w:val="clear" w:color="auto" w:fill="auto"/>
          </w:tcPr>
          <w:p w14:paraId="49D9BD32" w14:textId="05142712" w:rsidR="00FB700B" w:rsidRPr="006547A2" w:rsidRDefault="00FB700B" w:rsidP="00FB70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NF: all lines of business</w:t>
            </w:r>
          </w:p>
        </w:tc>
      </w:tr>
      <w:tr w:rsidR="00FB700B" w:rsidRPr="006547A2" w14:paraId="19B63FA6" w14:textId="77777777" w:rsidTr="00876AB4">
        <w:tc>
          <w:tcPr>
            <w:tcW w:w="2589" w:type="dxa"/>
            <w:shd w:val="clear" w:color="auto" w:fill="auto"/>
          </w:tcPr>
          <w:p w14:paraId="53ACA104" w14:textId="77777777" w:rsidR="009F5282" w:rsidRPr="009F5282" w:rsidRDefault="009F5282" w:rsidP="009F5282">
            <w:pPr>
              <w:rPr>
                <w:rFonts w:ascii="Verdana" w:hAnsi="Verdana" w:cs="Arial"/>
              </w:rPr>
            </w:pPr>
            <w:r w:rsidRPr="009F5282">
              <w:rPr>
                <w:rFonts w:ascii="Verdana" w:hAnsi="Verdana" w:cs="Arial"/>
                <w:b/>
                <w:bCs/>
              </w:rPr>
              <w:t>Dicyclomine</w:t>
            </w:r>
            <w:r w:rsidRPr="009F5282">
              <w:rPr>
                <w:rFonts w:ascii="Verdana" w:hAnsi="Verdana" w:cs="Arial"/>
              </w:rPr>
              <w:t xml:space="preserve"> 40 mg tablets for irritable bowel syndrome</w:t>
            </w:r>
          </w:p>
          <w:p w14:paraId="399946F3" w14:textId="34B711CA" w:rsidR="00FB700B" w:rsidRPr="006547A2" w:rsidRDefault="00FB700B" w:rsidP="00FB700B">
            <w:pPr>
              <w:rPr>
                <w:rFonts w:ascii="Verdana" w:hAnsi="Verdana" w:cs="Arial"/>
              </w:rPr>
            </w:pPr>
          </w:p>
        </w:tc>
        <w:tc>
          <w:tcPr>
            <w:tcW w:w="4232" w:type="dxa"/>
            <w:shd w:val="clear" w:color="auto" w:fill="auto"/>
          </w:tcPr>
          <w:p w14:paraId="7CFD550C" w14:textId="77777777" w:rsidR="009F5282" w:rsidRPr="009F5282" w:rsidRDefault="009F5282" w:rsidP="009F5282">
            <w:pPr>
              <w:tabs>
                <w:tab w:val="left" w:pos="1125"/>
              </w:tabs>
              <w:rPr>
                <w:rFonts w:ascii="Verdana" w:hAnsi="Verdana"/>
              </w:rPr>
            </w:pPr>
            <w:r w:rsidRPr="009F5282">
              <w:rPr>
                <w:rFonts w:ascii="Verdana" w:hAnsi="Verdana"/>
              </w:rPr>
              <w:t>A new branded 40 mg strength for dicyclomine tablets has launched at a significantly higher price compared to the generically available 10 mg capsules and 20 mg tablets.</w:t>
            </w:r>
          </w:p>
          <w:p w14:paraId="4843AD2C" w14:textId="35C4D956" w:rsidR="00FB700B" w:rsidRPr="006547A2" w:rsidRDefault="00FB700B" w:rsidP="00FB700B">
            <w:pPr>
              <w:tabs>
                <w:tab w:val="left" w:pos="1125"/>
              </w:tabs>
              <w:rPr>
                <w:rFonts w:ascii="Verdana" w:hAnsi="Verdana"/>
              </w:rPr>
            </w:pPr>
          </w:p>
        </w:tc>
        <w:tc>
          <w:tcPr>
            <w:tcW w:w="4096" w:type="dxa"/>
            <w:shd w:val="clear" w:color="auto" w:fill="auto"/>
          </w:tcPr>
          <w:p w14:paraId="6757431B" w14:textId="52F90789" w:rsidR="00FB700B" w:rsidRPr="006547A2" w:rsidRDefault="009F5282" w:rsidP="00FB700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</w:t>
            </w:r>
            <w:r w:rsidR="00FB700B">
              <w:rPr>
                <w:rFonts w:ascii="Verdana" w:hAnsi="Verdana"/>
              </w:rPr>
              <w:t>F: all lines of business</w:t>
            </w:r>
          </w:p>
        </w:tc>
      </w:tr>
      <w:tr w:rsidR="00FB700B" w:rsidRPr="006547A2" w14:paraId="5CB11D2F" w14:textId="77777777" w:rsidTr="00876AB4">
        <w:tc>
          <w:tcPr>
            <w:tcW w:w="2589" w:type="dxa"/>
            <w:shd w:val="clear" w:color="auto" w:fill="auto"/>
          </w:tcPr>
          <w:p w14:paraId="7473291A" w14:textId="77777777" w:rsidR="009F5282" w:rsidRPr="009F5282" w:rsidRDefault="009F5282" w:rsidP="009F5282">
            <w:pPr>
              <w:rPr>
                <w:rFonts w:ascii="Verdana" w:hAnsi="Verdana" w:cs="Arial"/>
              </w:rPr>
            </w:pPr>
            <w:proofErr w:type="spellStart"/>
            <w:r w:rsidRPr="009F5282">
              <w:rPr>
                <w:rFonts w:ascii="Verdana" w:hAnsi="Verdana" w:cs="Arial"/>
                <w:b/>
                <w:bCs/>
              </w:rPr>
              <w:t>Spevigo</w:t>
            </w:r>
            <w:proofErr w:type="spellEnd"/>
            <w:r w:rsidRPr="009F5282">
              <w:rPr>
                <w:rFonts w:ascii="Verdana" w:hAnsi="Verdana" w:cs="Arial"/>
              </w:rPr>
              <w:t xml:space="preserve"> (</w:t>
            </w:r>
            <w:proofErr w:type="spellStart"/>
            <w:r w:rsidRPr="009F5282">
              <w:rPr>
                <w:rFonts w:ascii="Verdana" w:hAnsi="Verdana" w:cs="Arial"/>
              </w:rPr>
              <w:t>spesolimab</w:t>
            </w:r>
            <w:proofErr w:type="spellEnd"/>
            <w:r w:rsidRPr="009F5282">
              <w:rPr>
                <w:rFonts w:ascii="Verdana" w:hAnsi="Verdana" w:cs="Arial"/>
              </w:rPr>
              <w:t>) 300 mg/2 mL PFS for generalized pustular psoriasis</w:t>
            </w:r>
          </w:p>
          <w:p w14:paraId="716722D9" w14:textId="6E3252F6" w:rsidR="00FB700B" w:rsidRPr="006547A2" w:rsidRDefault="00FB700B" w:rsidP="00FB700B">
            <w:pPr>
              <w:rPr>
                <w:rFonts w:ascii="Verdana" w:hAnsi="Verdana" w:cs="Arial"/>
              </w:rPr>
            </w:pPr>
          </w:p>
        </w:tc>
        <w:tc>
          <w:tcPr>
            <w:tcW w:w="4232" w:type="dxa"/>
            <w:shd w:val="clear" w:color="auto" w:fill="auto"/>
          </w:tcPr>
          <w:p w14:paraId="75AAD01C" w14:textId="77777777" w:rsidR="009F5282" w:rsidRPr="009F5282" w:rsidRDefault="009F5282" w:rsidP="009F5282">
            <w:pPr>
              <w:rPr>
                <w:rFonts w:ascii="Verdana" w:hAnsi="Verdana"/>
              </w:rPr>
            </w:pPr>
            <w:r w:rsidRPr="009F5282">
              <w:rPr>
                <w:rFonts w:ascii="Verdana" w:hAnsi="Verdana"/>
              </w:rPr>
              <w:t xml:space="preserve">A higher strength prefilled syringe for </w:t>
            </w:r>
            <w:proofErr w:type="spellStart"/>
            <w:r w:rsidRPr="009F5282">
              <w:rPr>
                <w:rFonts w:ascii="Verdana" w:hAnsi="Verdana"/>
              </w:rPr>
              <w:t>Spevigo</w:t>
            </w:r>
            <w:proofErr w:type="spellEnd"/>
            <w:r w:rsidRPr="009F5282">
              <w:rPr>
                <w:rFonts w:ascii="Verdana" w:hAnsi="Verdana"/>
              </w:rPr>
              <w:t xml:space="preserve"> launched allowing for simpler administration, as the full monthly dose can now be administered as just one injection. </w:t>
            </w:r>
          </w:p>
          <w:p w14:paraId="1CB0E0D6" w14:textId="7A25D67F" w:rsidR="00FB700B" w:rsidRPr="006547A2" w:rsidRDefault="00FB700B" w:rsidP="00FB700B">
            <w:pPr>
              <w:rPr>
                <w:rFonts w:ascii="Verdana" w:hAnsi="Verdana"/>
              </w:rPr>
            </w:pPr>
          </w:p>
        </w:tc>
        <w:tc>
          <w:tcPr>
            <w:tcW w:w="4096" w:type="dxa"/>
            <w:shd w:val="clear" w:color="auto" w:fill="auto"/>
          </w:tcPr>
          <w:p w14:paraId="58F789E9" w14:textId="33D4D420" w:rsidR="009F5282" w:rsidRPr="009F5282" w:rsidRDefault="009F5282" w:rsidP="009F5282">
            <w:pPr>
              <w:rPr>
                <w:rFonts w:ascii="Verdana" w:hAnsi="Verdana"/>
              </w:rPr>
            </w:pPr>
            <w:r w:rsidRPr="009F5282">
              <w:rPr>
                <w:rFonts w:ascii="Verdana" w:hAnsi="Verdana"/>
              </w:rPr>
              <w:t>NF: Med</w:t>
            </w:r>
            <w:r>
              <w:rPr>
                <w:rFonts w:ascii="Verdana" w:hAnsi="Verdana"/>
              </w:rPr>
              <w:t>icare</w:t>
            </w:r>
            <w:r w:rsidRPr="009F5282">
              <w:rPr>
                <w:rFonts w:ascii="Verdana" w:hAnsi="Verdana"/>
              </w:rPr>
              <w:t>, PPO, IFP</w:t>
            </w:r>
          </w:p>
          <w:p w14:paraId="2B7294E0" w14:textId="2B0EC9CA" w:rsidR="009F5282" w:rsidRPr="009F5282" w:rsidRDefault="00D337DA" w:rsidP="009F528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</w:t>
            </w:r>
            <w:r w:rsidR="009F5282" w:rsidRPr="009F5282">
              <w:rPr>
                <w:rFonts w:ascii="Verdana" w:hAnsi="Verdana"/>
              </w:rPr>
              <w:t>: NP</w:t>
            </w:r>
          </w:p>
          <w:p w14:paraId="48AE2AEA" w14:textId="4B2EAEDF" w:rsidR="00FB700B" w:rsidRPr="006547A2" w:rsidRDefault="00FB700B" w:rsidP="00FB700B">
            <w:pPr>
              <w:rPr>
                <w:rFonts w:ascii="Verdana" w:hAnsi="Verdana"/>
              </w:rPr>
            </w:pPr>
          </w:p>
        </w:tc>
      </w:tr>
    </w:tbl>
    <w:p w14:paraId="36A9C293" w14:textId="77777777" w:rsidR="00255A16" w:rsidRPr="00852F8C" w:rsidRDefault="00255A16" w:rsidP="00E32DDA">
      <w:pPr>
        <w:rPr>
          <w:rFonts w:ascii="Verdana" w:eastAsia="Times New Roman" w:hAnsi="Verdana" w:cs="Arial"/>
          <w:b/>
          <w:sz w:val="20"/>
          <w:szCs w:val="20"/>
        </w:rPr>
      </w:pPr>
    </w:p>
    <w:tbl>
      <w:tblPr>
        <w:tblStyle w:val="LightList-Accent5"/>
        <w:tblW w:w="10890" w:type="dxa"/>
        <w:tblInd w:w="-95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6E31" w:rsidRPr="00852F8C" w14:paraId="5A3864ED" w14:textId="77777777" w:rsidTr="00441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shd w:val="clear" w:color="auto" w:fill="00205B"/>
          </w:tcPr>
          <w:bookmarkEnd w:id="1"/>
          <w:p w14:paraId="661BF950" w14:textId="77777777" w:rsidR="000A6E31" w:rsidRPr="00852F8C" w:rsidRDefault="000A6E31" w:rsidP="005247AA">
            <w:pPr>
              <w:spacing w:after="240"/>
              <w:rPr>
                <w:rFonts w:ascii="Verdana" w:eastAsia="Times New Roman" w:hAnsi="Verdana" w:cs="Arial"/>
                <w:b w:val="0"/>
                <w:sz w:val="20"/>
                <w:szCs w:val="20"/>
              </w:rPr>
            </w:pPr>
            <w:r w:rsidRPr="00852F8C">
              <w:rPr>
                <w:rFonts w:ascii="Verdana" w:eastAsia="Times New Roman" w:hAnsi="Verdana" w:cs="Arial"/>
                <w:sz w:val="20"/>
                <w:szCs w:val="20"/>
              </w:rPr>
              <w:t xml:space="preserve">Additional Items Reviewed </w:t>
            </w:r>
          </w:p>
        </w:tc>
      </w:tr>
    </w:tbl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2520"/>
        <w:gridCol w:w="8370"/>
      </w:tblGrid>
      <w:tr w:rsidR="000A6E31" w:rsidRPr="00852F8C" w14:paraId="4588D2D6" w14:textId="77777777" w:rsidTr="001C0339">
        <w:tc>
          <w:tcPr>
            <w:tcW w:w="2520" w:type="dxa"/>
          </w:tcPr>
          <w:p w14:paraId="4084C365" w14:textId="77777777" w:rsidR="000A6E31" w:rsidRPr="00852F8C" w:rsidRDefault="000A6E31" w:rsidP="005247AA">
            <w:pPr>
              <w:spacing w:after="240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  <w:r w:rsidRPr="00852F8C">
              <w:rPr>
                <w:rFonts w:ascii="Verdana" w:hAnsi="Verdana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8370" w:type="dxa"/>
          </w:tcPr>
          <w:p w14:paraId="4048D7BA" w14:textId="1A200632" w:rsidR="000A6E31" w:rsidRPr="00852F8C" w:rsidRDefault="00822707" w:rsidP="005247AA">
            <w:pPr>
              <w:spacing w:after="24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Drugs with New Policies</w:t>
            </w:r>
          </w:p>
        </w:tc>
      </w:tr>
      <w:tr w:rsidR="00822707" w:rsidRPr="00852F8C" w14:paraId="689CEF80" w14:textId="77777777" w:rsidTr="00347888">
        <w:trPr>
          <w:trHeight w:val="377"/>
        </w:trPr>
        <w:tc>
          <w:tcPr>
            <w:tcW w:w="2520" w:type="dxa"/>
          </w:tcPr>
          <w:p w14:paraId="0A40655A" w14:textId="1C8ACBD8" w:rsidR="00822707" w:rsidRDefault="00822707" w:rsidP="00822707">
            <w:pPr>
              <w:rPr>
                <w:rFonts w:ascii="Verdana" w:hAnsi="Verdana" w:cs="Times New Roman"/>
                <w:bCs/>
              </w:rPr>
            </w:pPr>
            <w:r w:rsidRPr="006547A2">
              <w:rPr>
                <w:rFonts w:ascii="Verdana" w:hAnsi="Verdana" w:cs="Times New Roman"/>
                <w:bCs/>
              </w:rPr>
              <w:t xml:space="preserve">New Medical Drug Policies (effective </w:t>
            </w:r>
            <w:r w:rsidR="00D337DA">
              <w:rPr>
                <w:rFonts w:ascii="Verdana" w:hAnsi="Verdana" w:cs="Times New Roman"/>
                <w:bCs/>
              </w:rPr>
              <w:t>11</w:t>
            </w:r>
            <w:r w:rsidR="00B727CC" w:rsidRPr="006547A2">
              <w:rPr>
                <w:rFonts w:ascii="Verdana" w:hAnsi="Verdana" w:cs="Times New Roman"/>
                <w:bCs/>
              </w:rPr>
              <w:t>/1</w:t>
            </w:r>
            <w:r w:rsidR="00D337DA">
              <w:rPr>
                <w:rFonts w:ascii="Verdana" w:hAnsi="Verdana" w:cs="Times New Roman"/>
                <w:bCs/>
              </w:rPr>
              <w:t>5</w:t>
            </w:r>
            <w:r w:rsidRPr="006547A2">
              <w:rPr>
                <w:rFonts w:ascii="Verdana" w:hAnsi="Verdana" w:cs="Times New Roman"/>
                <w:bCs/>
              </w:rPr>
              <w:t>/202</w:t>
            </w:r>
            <w:r w:rsidR="000D701C">
              <w:rPr>
                <w:rFonts w:ascii="Verdana" w:hAnsi="Verdana" w:cs="Times New Roman"/>
                <w:bCs/>
              </w:rPr>
              <w:t>5</w:t>
            </w:r>
            <w:r w:rsidRPr="006547A2">
              <w:rPr>
                <w:rFonts w:ascii="Verdana" w:hAnsi="Verdana" w:cs="Times New Roman"/>
                <w:bCs/>
              </w:rPr>
              <w:t>)</w:t>
            </w:r>
          </w:p>
          <w:p w14:paraId="47B4D3B8" w14:textId="77777777" w:rsidR="00C56DA1" w:rsidRDefault="00C56DA1" w:rsidP="00822707">
            <w:pPr>
              <w:rPr>
                <w:rFonts w:ascii="Verdana" w:hAnsi="Verdana" w:cs="Times New Roman"/>
                <w:bCs/>
              </w:rPr>
            </w:pPr>
          </w:p>
          <w:p w14:paraId="166089E0" w14:textId="252CE866" w:rsidR="00C56DA1" w:rsidRPr="006547A2" w:rsidRDefault="00C56DA1" w:rsidP="00822707">
            <w:pPr>
              <w:rPr>
                <w:rFonts w:ascii="Verdana" w:hAnsi="Verdana" w:cs="Times New Roman"/>
                <w:bCs/>
              </w:rPr>
            </w:pPr>
          </w:p>
        </w:tc>
        <w:tc>
          <w:tcPr>
            <w:tcW w:w="8370" w:type="dxa"/>
          </w:tcPr>
          <w:p w14:paraId="5AE35011" w14:textId="77777777" w:rsidR="00D337DA" w:rsidRPr="00D337DA" w:rsidRDefault="00D337DA" w:rsidP="00D337DA">
            <w:pPr>
              <w:pStyle w:val="ListParagraph"/>
              <w:numPr>
                <w:ilvl w:val="0"/>
                <w:numId w:val="27"/>
              </w:numPr>
              <w:rPr>
                <w:rFonts w:ascii="Verdana" w:hAnsi="Verdana"/>
              </w:rPr>
            </w:pPr>
            <w:proofErr w:type="spellStart"/>
            <w:r w:rsidRPr="00D337DA">
              <w:rPr>
                <w:rFonts w:ascii="Verdana" w:hAnsi="Verdana"/>
              </w:rPr>
              <w:t>Andembry</w:t>
            </w:r>
            <w:proofErr w:type="spellEnd"/>
          </w:p>
          <w:p w14:paraId="5D837198" w14:textId="77777777" w:rsidR="00D337DA" w:rsidRPr="00D337DA" w:rsidRDefault="00D337DA" w:rsidP="00D337DA">
            <w:pPr>
              <w:pStyle w:val="ListParagraph"/>
              <w:numPr>
                <w:ilvl w:val="0"/>
                <w:numId w:val="27"/>
              </w:numPr>
              <w:rPr>
                <w:rFonts w:ascii="Verdana" w:hAnsi="Verdana" w:cs="Times New Roman"/>
              </w:rPr>
            </w:pPr>
            <w:proofErr w:type="spellStart"/>
            <w:r w:rsidRPr="00D337DA">
              <w:rPr>
                <w:rFonts w:ascii="Verdana" w:hAnsi="Verdana"/>
              </w:rPr>
              <w:t>Lynozyfic</w:t>
            </w:r>
            <w:proofErr w:type="spellEnd"/>
          </w:p>
          <w:p w14:paraId="16A9B0C2" w14:textId="77777777" w:rsidR="00D337DA" w:rsidRPr="00D337DA" w:rsidRDefault="00D337DA" w:rsidP="00D337DA">
            <w:pPr>
              <w:pStyle w:val="ListParagraph"/>
              <w:numPr>
                <w:ilvl w:val="0"/>
                <w:numId w:val="27"/>
              </w:numPr>
              <w:rPr>
                <w:rFonts w:ascii="Verdana" w:hAnsi="Verdana" w:cs="Times New Roman"/>
              </w:rPr>
            </w:pPr>
            <w:proofErr w:type="spellStart"/>
            <w:r w:rsidRPr="00D337DA">
              <w:rPr>
                <w:rFonts w:ascii="Verdana" w:hAnsi="Verdana"/>
              </w:rPr>
              <w:t>Onapgo</w:t>
            </w:r>
            <w:proofErr w:type="spellEnd"/>
          </w:p>
          <w:p w14:paraId="06EEC278" w14:textId="77777777" w:rsidR="00D337DA" w:rsidRPr="00D337DA" w:rsidRDefault="00D337DA" w:rsidP="00D337DA">
            <w:pPr>
              <w:pStyle w:val="ListParagraph"/>
              <w:numPr>
                <w:ilvl w:val="0"/>
                <w:numId w:val="27"/>
              </w:numPr>
              <w:rPr>
                <w:rFonts w:ascii="Verdana" w:hAnsi="Verdana" w:cs="Times New Roman"/>
              </w:rPr>
            </w:pPr>
            <w:proofErr w:type="spellStart"/>
            <w:r w:rsidRPr="00D337DA">
              <w:rPr>
                <w:rFonts w:ascii="Verdana" w:hAnsi="Verdana"/>
              </w:rPr>
              <w:t>Yeztugo</w:t>
            </w:r>
            <w:proofErr w:type="spellEnd"/>
          </w:p>
          <w:p w14:paraId="10A72DB8" w14:textId="77777777" w:rsidR="00D337DA" w:rsidRPr="00D337DA" w:rsidRDefault="00D337DA" w:rsidP="00D337DA">
            <w:pPr>
              <w:pStyle w:val="ListParagraph"/>
              <w:numPr>
                <w:ilvl w:val="0"/>
                <w:numId w:val="27"/>
              </w:numPr>
              <w:rPr>
                <w:rFonts w:ascii="Verdana" w:hAnsi="Verdana" w:cs="Times New Roman"/>
              </w:rPr>
            </w:pPr>
            <w:proofErr w:type="spellStart"/>
            <w:r w:rsidRPr="00D337DA">
              <w:rPr>
                <w:rFonts w:ascii="Verdana" w:hAnsi="Verdana"/>
              </w:rPr>
              <w:t>Zevaskyn</w:t>
            </w:r>
            <w:proofErr w:type="spellEnd"/>
          </w:p>
          <w:p w14:paraId="1096147E" w14:textId="7891A131" w:rsidR="00FB700B" w:rsidRPr="00AB7540" w:rsidRDefault="00D337DA" w:rsidP="00D337DA">
            <w:pPr>
              <w:pStyle w:val="ListParagraph"/>
              <w:numPr>
                <w:ilvl w:val="0"/>
                <w:numId w:val="27"/>
              </w:numPr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D337DA">
              <w:rPr>
                <w:rFonts w:ascii="Verdana" w:hAnsi="Verdana"/>
              </w:rPr>
              <w:t>Zusduri</w:t>
            </w:r>
            <w:proofErr w:type="spellEnd"/>
          </w:p>
        </w:tc>
      </w:tr>
    </w:tbl>
    <w:p w14:paraId="4396F646" w14:textId="77777777" w:rsidR="004A4967" w:rsidRPr="0008291B" w:rsidRDefault="004A4967" w:rsidP="004A4967">
      <w:pPr>
        <w:rPr>
          <w:rFonts w:ascii="Verdana" w:eastAsia="Times New Roman" w:hAnsi="Verdana" w:cs="Arial"/>
          <w:sz w:val="20"/>
          <w:szCs w:val="20"/>
        </w:rPr>
      </w:pPr>
    </w:p>
    <w:sectPr w:rsidR="004A4967" w:rsidRPr="0008291B" w:rsidSect="00E70EBB">
      <w:headerReference w:type="default" r:id="rId8"/>
      <w:footerReference w:type="default" r:id="rId9"/>
      <w:type w:val="continuous"/>
      <w:pgSz w:w="12240" w:h="15840"/>
      <w:pgMar w:top="720" w:right="720" w:bottom="720" w:left="720" w:header="720" w:footer="70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46F1D" w14:textId="77777777" w:rsidR="001E0B7A" w:rsidRDefault="001E0B7A">
      <w:r>
        <w:separator/>
      </w:r>
    </w:p>
  </w:endnote>
  <w:endnote w:type="continuationSeparator" w:id="0">
    <w:p w14:paraId="00004FC0" w14:textId="77777777" w:rsidR="001E0B7A" w:rsidRDefault="001E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79736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19AB9F" w14:textId="223CE295" w:rsidR="00E24624" w:rsidRDefault="00E246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6F77D4" w14:textId="44197675" w:rsidR="003F1B83" w:rsidRPr="00E24624" w:rsidRDefault="003F1B83" w:rsidP="00E246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E04DA" w14:textId="77777777" w:rsidR="001E0B7A" w:rsidRDefault="001E0B7A">
      <w:r>
        <w:separator/>
      </w:r>
    </w:p>
  </w:footnote>
  <w:footnote w:type="continuationSeparator" w:id="0">
    <w:p w14:paraId="48C996A1" w14:textId="77777777" w:rsidR="001E0B7A" w:rsidRDefault="001E0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B51D4" w14:textId="19B38D68" w:rsidR="003F1B83" w:rsidRDefault="003F1B83" w:rsidP="007813ED">
    <w:pPr>
      <w:spacing w:before="24"/>
      <w:ind w:right="-20"/>
      <w:jc w:val="center"/>
      <w:rPr>
        <w:rFonts w:ascii="Verdana" w:hAnsi="Verdana"/>
        <w:b/>
        <w:noProof/>
        <w:sz w:val="28"/>
        <w:szCs w:val="28"/>
      </w:rPr>
    </w:pPr>
    <w:r w:rsidRPr="007813ED">
      <w:rPr>
        <w:rFonts w:ascii="Verdana" w:hAnsi="Verdana"/>
        <w:i/>
        <w:iCs/>
        <w:noProof/>
        <w:color w:val="1F497D"/>
        <w:sz w:val="28"/>
        <w:szCs w:val="28"/>
      </w:rPr>
      <w:drawing>
        <wp:anchor distT="0" distB="0" distL="114300" distR="114300" simplePos="0" relativeHeight="251659264" behindDoc="0" locked="0" layoutInCell="1" allowOverlap="1" wp14:anchorId="435F0FDD" wp14:editId="4F530742">
          <wp:simplePos x="0" y="0"/>
          <wp:positionH relativeFrom="margin">
            <wp:posOffset>-352425</wp:posOffset>
          </wp:positionH>
          <wp:positionV relativeFrom="paragraph">
            <wp:posOffset>-336550</wp:posOffset>
          </wp:positionV>
          <wp:extent cx="1914525" cy="400050"/>
          <wp:effectExtent l="0" t="0" r="9525" b="0"/>
          <wp:wrapNone/>
          <wp:docPr id="1" name="Picture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95AC958" w14:textId="6D2CF7AB" w:rsidR="003F1B83" w:rsidRPr="00C06728" w:rsidRDefault="00DE5649" w:rsidP="00080E04">
    <w:pPr>
      <w:spacing w:before="24"/>
      <w:ind w:right="-20"/>
      <w:jc w:val="center"/>
      <w:rPr>
        <w:rFonts w:ascii="Verdana" w:hAnsi="Verdana"/>
        <w:b/>
        <w:noProof/>
        <w:sz w:val="24"/>
        <w:szCs w:val="24"/>
      </w:rPr>
    </w:pPr>
    <w:r>
      <w:rPr>
        <w:rFonts w:ascii="Verdana" w:hAnsi="Verdana"/>
        <w:b/>
        <w:noProof/>
        <w:sz w:val="24"/>
        <w:szCs w:val="24"/>
      </w:rPr>
      <w:t>September</w:t>
    </w:r>
    <w:r w:rsidR="00455328">
      <w:rPr>
        <w:rFonts w:ascii="Verdana" w:hAnsi="Verdana"/>
        <w:b/>
        <w:noProof/>
        <w:sz w:val="24"/>
        <w:szCs w:val="24"/>
      </w:rPr>
      <w:t xml:space="preserve"> 202</w:t>
    </w:r>
    <w:r w:rsidR="00F11DC6">
      <w:rPr>
        <w:rFonts w:ascii="Verdana" w:hAnsi="Verdana"/>
        <w:b/>
        <w:noProof/>
        <w:sz w:val="24"/>
        <w:szCs w:val="24"/>
      </w:rPr>
      <w:t>5</w:t>
    </w:r>
    <w:r w:rsidR="003F1B83" w:rsidRPr="00C06728">
      <w:rPr>
        <w:rFonts w:ascii="Verdana" w:eastAsia="Times New Roman" w:hAnsi="Verdana" w:cs="Times New Roman"/>
        <w:b/>
        <w:bCs/>
        <w:spacing w:val="-1"/>
        <w:sz w:val="24"/>
        <w:szCs w:val="24"/>
      </w:rPr>
      <w:t xml:space="preserve"> Pharmacy &amp; </w:t>
    </w:r>
    <w:r w:rsidR="003F1B83" w:rsidRPr="00C06728">
      <w:rPr>
        <w:rFonts w:ascii="Verdana" w:eastAsia="Times New Roman" w:hAnsi="Verdana" w:cs="Times New Roman"/>
        <w:b/>
        <w:bCs/>
        <w:sz w:val="24"/>
        <w:szCs w:val="24"/>
      </w:rPr>
      <w:t>Therapeutics</w:t>
    </w:r>
  </w:p>
  <w:p w14:paraId="3AEB01D9" w14:textId="19FDB444" w:rsidR="003F1B83" w:rsidRDefault="003F1B83" w:rsidP="007813ED">
    <w:pPr>
      <w:spacing w:before="24"/>
      <w:ind w:right="-20"/>
      <w:jc w:val="center"/>
      <w:rPr>
        <w:rFonts w:ascii="Verdana" w:eastAsia="Times New Roman" w:hAnsi="Verdana" w:cs="Times New Roman"/>
        <w:b/>
        <w:bCs/>
        <w:sz w:val="24"/>
        <w:szCs w:val="24"/>
      </w:rPr>
    </w:pPr>
    <w:r w:rsidRPr="00C06728">
      <w:rPr>
        <w:rFonts w:ascii="Verdana" w:eastAsia="Times New Roman" w:hAnsi="Verdana" w:cs="Times New Roman"/>
        <w:b/>
        <w:bCs/>
        <w:spacing w:val="-2"/>
        <w:sz w:val="24"/>
        <w:szCs w:val="24"/>
      </w:rPr>
      <w:t>C</w:t>
    </w:r>
    <w:r w:rsidRPr="00C06728">
      <w:rPr>
        <w:rFonts w:ascii="Verdana" w:eastAsia="Times New Roman" w:hAnsi="Verdana" w:cs="Times New Roman"/>
        <w:b/>
        <w:bCs/>
        <w:spacing w:val="2"/>
        <w:sz w:val="24"/>
        <w:szCs w:val="24"/>
      </w:rPr>
      <w:t>o</w:t>
    </w:r>
    <w:r w:rsidRPr="00C06728">
      <w:rPr>
        <w:rFonts w:ascii="Verdana" w:eastAsia="Times New Roman" w:hAnsi="Verdana" w:cs="Times New Roman"/>
        <w:b/>
        <w:bCs/>
        <w:spacing w:val="-1"/>
        <w:sz w:val="24"/>
        <w:szCs w:val="24"/>
      </w:rPr>
      <w:t>m</w:t>
    </w:r>
    <w:r w:rsidRPr="00C06728">
      <w:rPr>
        <w:rFonts w:ascii="Verdana" w:eastAsia="Times New Roman" w:hAnsi="Verdana" w:cs="Times New Roman"/>
        <w:b/>
        <w:bCs/>
        <w:spacing w:val="-3"/>
        <w:sz w:val="24"/>
        <w:szCs w:val="24"/>
      </w:rPr>
      <w:t>m</w:t>
    </w:r>
    <w:r w:rsidRPr="00C06728">
      <w:rPr>
        <w:rFonts w:ascii="Verdana" w:eastAsia="Times New Roman" w:hAnsi="Verdana" w:cs="Times New Roman"/>
        <w:b/>
        <w:bCs/>
        <w:spacing w:val="1"/>
        <w:sz w:val="24"/>
        <w:szCs w:val="24"/>
      </w:rPr>
      <w:t>i</w:t>
    </w:r>
    <w:r w:rsidRPr="00C06728">
      <w:rPr>
        <w:rFonts w:ascii="Verdana" w:eastAsia="Times New Roman" w:hAnsi="Verdana" w:cs="Times New Roman"/>
        <w:b/>
        <w:bCs/>
        <w:sz w:val="24"/>
        <w:szCs w:val="24"/>
      </w:rPr>
      <w:t xml:space="preserve">ttee </w:t>
    </w:r>
    <w:r w:rsidRPr="00C06728">
      <w:rPr>
        <w:rFonts w:ascii="Verdana" w:eastAsia="Times New Roman" w:hAnsi="Verdana" w:cs="Times New Roman"/>
        <w:b/>
        <w:bCs/>
        <w:spacing w:val="-1"/>
        <w:sz w:val="24"/>
        <w:szCs w:val="24"/>
      </w:rPr>
      <w:t>D</w:t>
    </w:r>
    <w:r w:rsidRPr="00C06728">
      <w:rPr>
        <w:rFonts w:ascii="Verdana" w:eastAsia="Times New Roman" w:hAnsi="Verdana" w:cs="Times New Roman"/>
        <w:b/>
        <w:bCs/>
        <w:sz w:val="24"/>
        <w:szCs w:val="24"/>
      </w:rPr>
      <w:t>ec</w:t>
    </w:r>
    <w:r w:rsidRPr="00C06728">
      <w:rPr>
        <w:rFonts w:ascii="Verdana" w:eastAsia="Times New Roman" w:hAnsi="Verdana" w:cs="Times New Roman"/>
        <w:b/>
        <w:bCs/>
        <w:spacing w:val="-1"/>
        <w:sz w:val="24"/>
        <w:szCs w:val="24"/>
      </w:rPr>
      <w:t>i</w:t>
    </w:r>
    <w:r w:rsidRPr="00C06728">
      <w:rPr>
        <w:rFonts w:ascii="Verdana" w:eastAsia="Times New Roman" w:hAnsi="Verdana" w:cs="Times New Roman"/>
        <w:b/>
        <w:bCs/>
        <w:spacing w:val="1"/>
        <w:sz w:val="24"/>
        <w:szCs w:val="24"/>
      </w:rPr>
      <w:t>s</w:t>
    </w:r>
    <w:r w:rsidRPr="00C06728">
      <w:rPr>
        <w:rFonts w:ascii="Verdana" w:eastAsia="Times New Roman" w:hAnsi="Verdana" w:cs="Times New Roman"/>
        <w:b/>
        <w:bCs/>
        <w:spacing w:val="-1"/>
        <w:sz w:val="24"/>
        <w:szCs w:val="24"/>
      </w:rPr>
      <w:t>i</w:t>
    </w:r>
    <w:r w:rsidRPr="00C06728">
      <w:rPr>
        <w:rFonts w:ascii="Verdana" w:eastAsia="Times New Roman" w:hAnsi="Verdana" w:cs="Times New Roman"/>
        <w:b/>
        <w:bCs/>
        <w:spacing w:val="1"/>
        <w:sz w:val="24"/>
        <w:szCs w:val="24"/>
      </w:rPr>
      <w:t>o</w:t>
    </w:r>
    <w:r w:rsidRPr="00C06728">
      <w:rPr>
        <w:rFonts w:ascii="Verdana" w:eastAsia="Times New Roman" w:hAnsi="Verdana" w:cs="Times New Roman"/>
        <w:b/>
        <w:bCs/>
        <w:spacing w:val="-3"/>
        <w:sz w:val="24"/>
        <w:szCs w:val="24"/>
      </w:rPr>
      <w:t>n</w:t>
    </w:r>
    <w:r w:rsidRPr="00C06728">
      <w:rPr>
        <w:rFonts w:ascii="Verdana" w:eastAsia="Times New Roman" w:hAnsi="Verdana" w:cs="Times New Roman"/>
        <w:b/>
        <w:bCs/>
        <w:sz w:val="24"/>
        <w:szCs w:val="24"/>
      </w:rPr>
      <w:t>s</w:t>
    </w:r>
  </w:p>
  <w:p w14:paraId="34F965A0" w14:textId="77777777" w:rsidR="005D7E74" w:rsidRDefault="005D7E74" w:rsidP="007813ED">
    <w:pPr>
      <w:spacing w:before="24"/>
      <w:ind w:right="-20"/>
      <w:jc w:val="center"/>
      <w:rPr>
        <w:rFonts w:ascii="Verdana" w:eastAsia="Times New Roman" w:hAnsi="Verdana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1C6"/>
    <w:multiLevelType w:val="hybridMultilevel"/>
    <w:tmpl w:val="F6408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032EC"/>
    <w:multiLevelType w:val="hybridMultilevel"/>
    <w:tmpl w:val="68F85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D6A66"/>
    <w:multiLevelType w:val="hybridMultilevel"/>
    <w:tmpl w:val="34D8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17E23"/>
    <w:multiLevelType w:val="hybridMultilevel"/>
    <w:tmpl w:val="CF660648"/>
    <w:lvl w:ilvl="0" w:tplc="9994303E">
      <w:numFmt w:val="bullet"/>
      <w:lvlText w:val="-"/>
      <w:lvlJc w:val="left"/>
      <w:pPr>
        <w:ind w:left="435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376BE"/>
    <w:multiLevelType w:val="hybridMultilevel"/>
    <w:tmpl w:val="3F1C6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F4BCF"/>
    <w:multiLevelType w:val="hybridMultilevel"/>
    <w:tmpl w:val="164E2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A2C06"/>
    <w:multiLevelType w:val="hybridMultilevel"/>
    <w:tmpl w:val="24FC3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04331"/>
    <w:multiLevelType w:val="hybridMultilevel"/>
    <w:tmpl w:val="0A22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4449C"/>
    <w:multiLevelType w:val="hybridMultilevel"/>
    <w:tmpl w:val="3A4A8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E7BD8"/>
    <w:multiLevelType w:val="hybridMultilevel"/>
    <w:tmpl w:val="6784D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E7C42"/>
    <w:multiLevelType w:val="hybridMultilevel"/>
    <w:tmpl w:val="9E0E1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935C1"/>
    <w:multiLevelType w:val="hybridMultilevel"/>
    <w:tmpl w:val="B9046FD0"/>
    <w:lvl w:ilvl="0" w:tplc="6D0262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835DF"/>
    <w:multiLevelType w:val="hybridMultilevel"/>
    <w:tmpl w:val="BA2EE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696192"/>
    <w:multiLevelType w:val="hybridMultilevel"/>
    <w:tmpl w:val="C0C49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8522D"/>
    <w:multiLevelType w:val="hybridMultilevel"/>
    <w:tmpl w:val="C242F7C8"/>
    <w:lvl w:ilvl="0" w:tplc="76FC13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EEDF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30BE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BC9B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A2D2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8A1A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CCC4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72F9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2EBB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248511A"/>
    <w:multiLevelType w:val="hybridMultilevel"/>
    <w:tmpl w:val="347E5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92DCC"/>
    <w:multiLevelType w:val="hybridMultilevel"/>
    <w:tmpl w:val="2A428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5D6BC1"/>
    <w:multiLevelType w:val="hybridMultilevel"/>
    <w:tmpl w:val="512A1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C507C"/>
    <w:multiLevelType w:val="hybridMultilevel"/>
    <w:tmpl w:val="D49E3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14A70"/>
    <w:multiLevelType w:val="hybridMultilevel"/>
    <w:tmpl w:val="0D6C3062"/>
    <w:lvl w:ilvl="0" w:tplc="9994303E">
      <w:numFmt w:val="bullet"/>
      <w:lvlText w:val="-"/>
      <w:lvlJc w:val="left"/>
      <w:pPr>
        <w:ind w:left="435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0" w15:restartNumberingAfterBreak="0">
    <w:nsid w:val="628B3463"/>
    <w:multiLevelType w:val="hybridMultilevel"/>
    <w:tmpl w:val="0116FED6"/>
    <w:lvl w:ilvl="0" w:tplc="9994303E">
      <w:numFmt w:val="bullet"/>
      <w:lvlText w:val="-"/>
      <w:lvlJc w:val="left"/>
      <w:pPr>
        <w:ind w:left="435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412A8"/>
    <w:multiLevelType w:val="hybridMultilevel"/>
    <w:tmpl w:val="43823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764065"/>
    <w:multiLevelType w:val="hybridMultilevel"/>
    <w:tmpl w:val="1F50C03C"/>
    <w:lvl w:ilvl="0" w:tplc="DF3CB18E">
      <w:start w:val="1"/>
      <w:numFmt w:val="decimal"/>
      <w:suff w:val="nothing"/>
      <w:lvlText w:val="%1."/>
      <w:lvlJc w:val="left"/>
      <w:pPr>
        <w:ind w:left="0" w:firstLine="72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35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63272A"/>
    <w:multiLevelType w:val="hybridMultilevel"/>
    <w:tmpl w:val="7122C8E2"/>
    <w:lvl w:ilvl="0" w:tplc="040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24" w15:restartNumberingAfterBreak="0">
    <w:nsid w:val="6F2106AB"/>
    <w:multiLevelType w:val="hybridMultilevel"/>
    <w:tmpl w:val="D6C61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E81CA9"/>
    <w:multiLevelType w:val="hybridMultilevel"/>
    <w:tmpl w:val="70667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749E3"/>
    <w:multiLevelType w:val="hybridMultilevel"/>
    <w:tmpl w:val="C4FEF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700779">
    <w:abstractNumId w:val="21"/>
  </w:num>
  <w:num w:numId="2" w16cid:durableId="1978099830">
    <w:abstractNumId w:val="23"/>
  </w:num>
  <w:num w:numId="3" w16cid:durableId="1002123467">
    <w:abstractNumId w:val="9"/>
  </w:num>
  <w:num w:numId="4" w16cid:durableId="32199846">
    <w:abstractNumId w:val="1"/>
  </w:num>
  <w:num w:numId="5" w16cid:durableId="197477088">
    <w:abstractNumId w:val="7"/>
  </w:num>
  <w:num w:numId="6" w16cid:durableId="1379547306">
    <w:abstractNumId w:val="15"/>
  </w:num>
  <w:num w:numId="7" w16cid:durableId="919951421">
    <w:abstractNumId w:val="8"/>
  </w:num>
  <w:num w:numId="8" w16cid:durableId="63340024">
    <w:abstractNumId w:val="6"/>
  </w:num>
  <w:num w:numId="9" w16cid:durableId="219295041">
    <w:abstractNumId w:val="11"/>
  </w:num>
  <w:num w:numId="10" w16cid:durableId="1379088175">
    <w:abstractNumId w:val="17"/>
  </w:num>
  <w:num w:numId="11" w16cid:durableId="1358458559">
    <w:abstractNumId w:val="26"/>
  </w:num>
  <w:num w:numId="12" w16cid:durableId="832255705">
    <w:abstractNumId w:val="5"/>
  </w:num>
  <w:num w:numId="13" w16cid:durableId="1048648586">
    <w:abstractNumId w:val="19"/>
  </w:num>
  <w:num w:numId="14" w16cid:durableId="865485552">
    <w:abstractNumId w:val="20"/>
  </w:num>
  <w:num w:numId="15" w16cid:durableId="40174074">
    <w:abstractNumId w:val="3"/>
  </w:num>
  <w:num w:numId="16" w16cid:durableId="816722650">
    <w:abstractNumId w:val="0"/>
  </w:num>
  <w:num w:numId="17" w16cid:durableId="345718672">
    <w:abstractNumId w:val="13"/>
  </w:num>
  <w:num w:numId="18" w16cid:durableId="1082531695">
    <w:abstractNumId w:val="18"/>
  </w:num>
  <w:num w:numId="19" w16cid:durableId="1500077621">
    <w:abstractNumId w:val="2"/>
  </w:num>
  <w:num w:numId="20" w16cid:durableId="1599602900">
    <w:abstractNumId w:val="12"/>
  </w:num>
  <w:num w:numId="21" w16cid:durableId="1137836206">
    <w:abstractNumId w:val="25"/>
  </w:num>
  <w:num w:numId="22" w16cid:durableId="1030061509">
    <w:abstractNumId w:val="24"/>
  </w:num>
  <w:num w:numId="23" w16cid:durableId="753742264">
    <w:abstractNumId w:val="10"/>
  </w:num>
  <w:num w:numId="24" w16cid:durableId="1871331762">
    <w:abstractNumId w:val="22"/>
  </w:num>
  <w:num w:numId="25" w16cid:durableId="1879584921">
    <w:abstractNumId w:val="4"/>
  </w:num>
  <w:num w:numId="26" w16cid:durableId="2136289971">
    <w:abstractNumId w:val="14"/>
  </w:num>
  <w:num w:numId="27" w16cid:durableId="4626229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76F"/>
    <w:rsid w:val="00001331"/>
    <w:rsid w:val="0000536E"/>
    <w:rsid w:val="0000785E"/>
    <w:rsid w:val="00013B7E"/>
    <w:rsid w:val="00015A48"/>
    <w:rsid w:val="00021C33"/>
    <w:rsid w:val="0002693E"/>
    <w:rsid w:val="000276E5"/>
    <w:rsid w:val="00027B5D"/>
    <w:rsid w:val="0003103B"/>
    <w:rsid w:val="00041EE0"/>
    <w:rsid w:val="00042572"/>
    <w:rsid w:val="0005112F"/>
    <w:rsid w:val="0005632B"/>
    <w:rsid w:val="00062D9B"/>
    <w:rsid w:val="00072DE3"/>
    <w:rsid w:val="00075402"/>
    <w:rsid w:val="000762F7"/>
    <w:rsid w:val="00077220"/>
    <w:rsid w:val="00080E04"/>
    <w:rsid w:val="0008291B"/>
    <w:rsid w:val="0008523F"/>
    <w:rsid w:val="000863CE"/>
    <w:rsid w:val="00090CB6"/>
    <w:rsid w:val="000A29D3"/>
    <w:rsid w:val="000A3A58"/>
    <w:rsid w:val="000A6E31"/>
    <w:rsid w:val="000A6FA0"/>
    <w:rsid w:val="000B1E4B"/>
    <w:rsid w:val="000B377F"/>
    <w:rsid w:val="000B6BBD"/>
    <w:rsid w:val="000C0DF2"/>
    <w:rsid w:val="000C1AED"/>
    <w:rsid w:val="000C5531"/>
    <w:rsid w:val="000C6EF5"/>
    <w:rsid w:val="000D701C"/>
    <w:rsid w:val="000E3555"/>
    <w:rsid w:val="000E718C"/>
    <w:rsid w:val="000E7E43"/>
    <w:rsid w:val="000F3657"/>
    <w:rsid w:val="00103223"/>
    <w:rsid w:val="001038DE"/>
    <w:rsid w:val="00111747"/>
    <w:rsid w:val="00113BFC"/>
    <w:rsid w:val="00123683"/>
    <w:rsid w:val="00123A36"/>
    <w:rsid w:val="00153FC2"/>
    <w:rsid w:val="00154175"/>
    <w:rsid w:val="00166739"/>
    <w:rsid w:val="0016796B"/>
    <w:rsid w:val="001679C6"/>
    <w:rsid w:val="001737B3"/>
    <w:rsid w:val="00173929"/>
    <w:rsid w:val="00174C58"/>
    <w:rsid w:val="001762D1"/>
    <w:rsid w:val="001773F9"/>
    <w:rsid w:val="00181BB5"/>
    <w:rsid w:val="001877A4"/>
    <w:rsid w:val="001A5644"/>
    <w:rsid w:val="001A7D1B"/>
    <w:rsid w:val="001B05E8"/>
    <w:rsid w:val="001B671E"/>
    <w:rsid w:val="001B70F1"/>
    <w:rsid w:val="001C0339"/>
    <w:rsid w:val="001C4424"/>
    <w:rsid w:val="001C6A3A"/>
    <w:rsid w:val="001D1C4F"/>
    <w:rsid w:val="001D6265"/>
    <w:rsid w:val="001E0B7A"/>
    <w:rsid w:val="001E24D2"/>
    <w:rsid w:val="001E373C"/>
    <w:rsid w:val="001E756A"/>
    <w:rsid w:val="001F115A"/>
    <w:rsid w:val="001F15E8"/>
    <w:rsid w:val="00200C5D"/>
    <w:rsid w:val="0020307C"/>
    <w:rsid w:val="00217B3A"/>
    <w:rsid w:val="00222189"/>
    <w:rsid w:val="00224305"/>
    <w:rsid w:val="002248EA"/>
    <w:rsid w:val="00227DA7"/>
    <w:rsid w:val="0023110B"/>
    <w:rsid w:val="00240902"/>
    <w:rsid w:val="002530EB"/>
    <w:rsid w:val="00254712"/>
    <w:rsid w:val="00255A16"/>
    <w:rsid w:val="00263AA5"/>
    <w:rsid w:val="00276D88"/>
    <w:rsid w:val="002776D4"/>
    <w:rsid w:val="00282F97"/>
    <w:rsid w:val="00286B01"/>
    <w:rsid w:val="00287036"/>
    <w:rsid w:val="00291916"/>
    <w:rsid w:val="00296E12"/>
    <w:rsid w:val="00296EF6"/>
    <w:rsid w:val="002A5AA8"/>
    <w:rsid w:val="002B26A4"/>
    <w:rsid w:val="002B3F56"/>
    <w:rsid w:val="002C7005"/>
    <w:rsid w:val="002D282C"/>
    <w:rsid w:val="002E3600"/>
    <w:rsid w:val="002E4598"/>
    <w:rsid w:val="00300359"/>
    <w:rsid w:val="00303B44"/>
    <w:rsid w:val="0030564B"/>
    <w:rsid w:val="0031220E"/>
    <w:rsid w:val="0031642B"/>
    <w:rsid w:val="003167C3"/>
    <w:rsid w:val="00320E7E"/>
    <w:rsid w:val="0032109D"/>
    <w:rsid w:val="00326070"/>
    <w:rsid w:val="00330E7F"/>
    <w:rsid w:val="0033413B"/>
    <w:rsid w:val="003357F7"/>
    <w:rsid w:val="00342BF8"/>
    <w:rsid w:val="00347603"/>
    <w:rsid w:val="00347888"/>
    <w:rsid w:val="00350CBF"/>
    <w:rsid w:val="00352182"/>
    <w:rsid w:val="00357691"/>
    <w:rsid w:val="003628BE"/>
    <w:rsid w:val="003637F1"/>
    <w:rsid w:val="00365381"/>
    <w:rsid w:val="003718D1"/>
    <w:rsid w:val="00374925"/>
    <w:rsid w:val="0037536D"/>
    <w:rsid w:val="0037686F"/>
    <w:rsid w:val="00376CD6"/>
    <w:rsid w:val="00377322"/>
    <w:rsid w:val="0038015B"/>
    <w:rsid w:val="003847EC"/>
    <w:rsid w:val="00393788"/>
    <w:rsid w:val="00393F0F"/>
    <w:rsid w:val="003A2BC8"/>
    <w:rsid w:val="003A2FBC"/>
    <w:rsid w:val="003B6BD2"/>
    <w:rsid w:val="003C216A"/>
    <w:rsid w:val="003C30B6"/>
    <w:rsid w:val="003C4DD7"/>
    <w:rsid w:val="003D089B"/>
    <w:rsid w:val="003D0A4A"/>
    <w:rsid w:val="003E5867"/>
    <w:rsid w:val="003F1B83"/>
    <w:rsid w:val="003F605C"/>
    <w:rsid w:val="00400E1D"/>
    <w:rsid w:val="00405517"/>
    <w:rsid w:val="00407397"/>
    <w:rsid w:val="00411EE3"/>
    <w:rsid w:val="004178F5"/>
    <w:rsid w:val="004265F7"/>
    <w:rsid w:val="00440BB7"/>
    <w:rsid w:val="0044162D"/>
    <w:rsid w:val="004430D3"/>
    <w:rsid w:val="00443AD2"/>
    <w:rsid w:val="00443D2D"/>
    <w:rsid w:val="00443FD7"/>
    <w:rsid w:val="004471A0"/>
    <w:rsid w:val="00453C40"/>
    <w:rsid w:val="00455328"/>
    <w:rsid w:val="00455724"/>
    <w:rsid w:val="0045729E"/>
    <w:rsid w:val="00460EDB"/>
    <w:rsid w:val="00463796"/>
    <w:rsid w:val="00474F55"/>
    <w:rsid w:val="004878FB"/>
    <w:rsid w:val="0049166B"/>
    <w:rsid w:val="004934D4"/>
    <w:rsid w:val="004971A5"/>
    <w:rsid w:val="004A3F96"/>
    <w:rsid w:val="004A4967"/>
    <w:rsid w:val="004B468F"/>
    <w:rsid w:val="004B4A2D"/>
    <w:rsid w:val="004B5320"/>
    <w:rsid w:val="004B7440"/>
    <w:rsid w:val="004C1325"/>
    <w:rsid w:val="004C1625"/>
    <w:rsid w:val="004C1E77"/>
    <w:rsid w:val="004C5F89"/>
    <w:rsid w:val="004C78BE"/>
    <w:rsid w:val="004D093E"/>
    <w:rsid w:val="004D176F"/>
    <w:rsid w:val="004D5183"/>
    <w:rsid w:val="004D6922"/>
    <w:rsid w:val="004E6FF6"/>
    <w:rsid w:val="004F2F90"/>
    <w:rsid w:val="004F5834"/>
    <w:rsid w:val="004F7C78"/>
    <w:rsid w:val="00501F1C"/>
    <w:rsid w:val="00507646"/>
    <w:rsid w:val="00511917"/>
    <w:rsid w:val="00523363"/>
    <w:rsid w:val="005247AA"/>
    <w:rsid w:val="0053124A"/>
    <w:rsid w:val="005471DD"/>
    <w:rsid w:val="00552179"/>
    <w:rsid w:val="005607E2"/>
    <w:rsid w:val="00567170"/>
    <w:rsid w:val="00570471"/>
    <w:rsid w:val="00574A06"/>
    <w:rsid w:val="00583068"/>
    <w:rsid w:val="005842E0"/>
    <w:rsid w:val="005919AE"/>
    <w:rsid w:val="005923D0"/>
    <w:rsid w:val="00595206"/>
    <w:rsid w:val="00596B6A"/>
    <w:rsid w:val="005A0F54"/>
    <w:rsid w:val="005A4597"/>
    <w:rsid w:val="005A54CD"/>
    <w:rsid w:val="005A5771"/>
    <w:rsid w:val="005A7171"/>
    <w:rsid w:val="005B07DA"/>
    <w:rsid w:val="005B6F69"/>
    <w:rsid w:val="005C2E2A"/>
    <w:rsid w:val="005C6C17"/>
    <w:rsid w:val="005C7E4C"/>
    <w:rsid w:val="005D02FA"/>
    <w:rsid w:val="005D0AD5"/>
    <w:rsid w:val="005D5A8C"/>
    <w:rsid w:val="005D7E74"/>
    <w:rsid w:val="005E2989"/>
    <w:rsid w:val="005E716D"/>
    <w:rsid w:val="005E7889"/>
    <w:rsid w:val="005F2A5F"/>
    <w:rsid w:val="005F3EFF"/>
    <w:rsid w:val="0060264F"/>
    <w:rsid w:val="0062160D"/>
    <w:rsid w:val="006223BC"/>
    <w:rsid w:val="00630D15"/>
    <w:rsid w:val="00631DE6"/>
    <w:rsid w:val="006324B9"/>
    <w:rsid w:val="00632618"/>
    <w:rsid w:val="0063466E"/>
    <w:rsid w:val="0063560A"/>
    <w:rsid w:val="0063773D"/>
    <w:rsid w:val="006411FC"/>
    <w:rsid w:val="00644FCA"/>
    <w:rsid w:val="00646B34"/>
    <w:rsid w:val="00647476"/>
    <w:rsid w:val="00651BDB"/>
    <w:rsid w:val="00651F73"/>
    <w:rsid w:val="00653C33"/>
    <w:rsid w:val="00654666"/>
    <w:rsid w:val="006547A2"/>
    <w:rsid w:val="0065705C"/>
    <w:rsid w:val="006623BA"/>
    <w:rsid w:val="0066383F"/>
    <w:rsid w:val="006678A7"/>
    <w:rsid w:val="00670D60"/>
    <w:rsid w:val="00672217"/>
    <w:rsid w:val="006732A8"/>
    <w:rsid w:val="006746EE"/>
    <w:rsid w:val="0067500A"/>
    <w:rsid w:val="006804D8"/>
    <w:rsid w:val="00684C33"/>
    <w:rsid w:val="00690B16"/>
    <w:rsid w:val="006935BF"/>
    <w:rsid w:val="0069703B"/>
    <w:rsid w:val="006977BA"/>
    <w:rsid w:val="006A5737"/>
    <w:rsid w:val="006B16C1"/>
    <w:rsid w:val="006C5E4A"/>
    <w:rsid w:val="006C6F0C"/>
    <w:rsid w:val="006D3FF4"/>
    <w:rsid w:val="006E7EE6"/>
    <w:rsid w:val="006F3BD7"/>
    <w:rsid w:val="006F62E8"/>
    <w:rsid w:val="007010BB"/>
    <w:rsid w:val="007044D6"/>
    <w:rsid w:val="00705890"/>
    <w:rsid w:val="00710E9D"/>
    <w:rsid w:val="00723809"/>
    <w:rsid w:val="0073440C"/>
    <w:rsid w:val="0073594F"/>
    <w:rsid w:val="00741038"/>
    <w:rsid w:val="00746B73"/>
    <w:rsid w:val="00752274"/>
    <w:rsid w:val="007523CA"/>
    <w:rsid w:val="00755911"/>
    <w:rsid w:val="007575C7"/>
    <w:rsid w:val="00760FBC"/>
    <w:rsid w:val="00761F43"/>
    <w:rsid w:val="00762CBA"/>
    <w:rsid w:val="00764303"/>
    <w:rsid w:val="00765246"/>
    <w:rsid w:val="00766DC0"/>
    <w:rsid w:val="00776016"/>
    <w:rsid w:val="007813ED"/>
    <w:rsid w:val="00791941"/>
    <w:rsid w:val="007977D3"/>
    <w:rsid w:val="007A2D68"/>
    <w:rsid w:val="007A2E41"/>
    <w:rsid w:val="007A586C"/>
    <w:rsid w:val="007A7913"/>
    <w:rsid w:val="007A7E74"/>
    <w:rsid w:val="007C152F"/>
    <w:rsid w:val="007D11A0"/>
    <w:rsid w:val="007D1D6A"/>
    <w:rsid w:val="007D3B4E"/>
    <w:rsid w:val="007D59EC"/>
    <w:rsid w:val="007D7099"/>
    <w:rsid w:val="007D7F52"/>
    <w:rsid w:val="007E2C73"/>
    <w:rsid w:val="007E4E57"/>
    <w:rsid w:val="007F3F30"/>
    <w:rsid w:val="007F4708"/>
    <w:rsid w:val="007F475C"/>
    <w:rsid w:val="007F5D21"/>
    <w:rsid w:val="00810A35"/>
    <w:rsid w:val="0081196F"/>
    <w:rsid w:val="008146C0"/>
    <w:rsid w:val="00814D6B"/>
    <w:rsid w:val="00814EE1"/>
    <w:rsid w:val="00820934"/>
    <w:rsid w:val="00822707"/>
    <w:rsid w:val="008238AB"/>
    <w:rsid w:val="00832DF6"/>
    <w:rsid w:val="00832EB0"/>
    <w:rsid w:val="00837406"/>
    <w:rsid w:val="00843F92"/>
    <w:rsid w:val="00844266"/>
    <w:rsid w:val="00844806"/>
    <w:rsid w:val="00852F8C"/>
    <w:rsid w:val="00854C16"/>
    <w:rsid w:val="008615D7"/>
    <w:rsid w:val="0086202F"/>
    <w:rsid w:val="00870C50"/>
    <w:rsid w:val="00873F95"/>
    <w:rsid w:val="008747E1"/>
    <w:rsid w:val="00875379"/>
    <w:rsid w:val="00876AB4"/>
    <w:rsid w:val="00876EFE"/>
    <w:rsid w:val="00876F27"/>
    <w:rsid w:val="00886C6D"/>
    <w:rsid w:val="00886F40"/>
    <w:rsid w:val="008907FC"/>
    <w:rsid w:val="0089593C"/>
    <w:rsid w:val="008A03E8"/>
    <w:rsid w:val="008A3424"/>
    <w:rsid w:val="008B1C3E"/>
    <w:rsid w:val="008B2543"/>
    <w:rsid w:val="008B2789"/>
    <w:rsid w:val="008D2E75"/>
    <w:rsid w:val="008D34C4"/>
    <w:rsid w:val="008D566F"/>
    <w:rsid w:val="008E2C56"/>
    <w:rsid w:val="008E332C"/>
    <w:rsid w:val="008E4E86"/>
    <w:rsid w:val="008E57B6"/>
    <w:rsid w:val="008F2FB5"/>
    <w:rsid w:val="008F582F"/>
    <w:rsid w:val="00901C99"/>
    <w:rsid w:val="00901F72"/>
    <w:rsid w:val="00906017"/>
    <w:rsid w:val="00911CE5"/>
    <w:rsid w:val="00911DEB"/>
    <w:rsid w:val="00914400"/>
    <w:rsid w:val="00914747"/>
    <w:rsid w:val="0091573D"/>
    <w:rsid w:val="00920315"/>
    <w:rsid w:val="00934B10"/>
    <w:rsid w:val="00941DB4"/>
    <w:rsid w:val="0095205D"/>
    <w:rsid w:val="00956AB9"/>
    <w:rsid w:val="00964238"/>
    <w:rsid w:val="009645C1"/>
    <w:rsid w:val="00970958"/>
    <w:rsid w:val="00970C72"/>
    <w:rsid w:val="00970FE4"/>
    <w:rsid w:val="00972555"/>
    <w:rsid w:val="0097530B"/>
    <w:rsid w:val="00975A46"/>
    <w:rsid w:val="00976ECF"/>
    <w:rsid w:val="0098015B"/>
    <w:rsid w:val="009927A3"/>
    <w:rsid w:val="0099506A"/>
    <w:rsid w:val="00995073"/>
    <w:rsid w:val="009971E1"/>
    <w:rsid w:val="009A191A"/>
    <w:rsid w:val="009A327F"/>
    <w:rsid w:val="009C12CD"/>
    <w:rsid w:val="009C2659"/>
    <w:rsid w:val="009D3869"/>
    <w:rsid w:val="009E4205"/>
    <w:rsid w:val="009F5282"/>
    <w:rsid w:val="009F5B06"/>
    <w:rsid w:val="00A005B8"/>
    <w:rsid w:val="00A02DD7"/>
    <w:rsid w:val="00A05F99"/>
    <w:rsid w:val="00A07721"/>
    <w:rsid w:val="00A12D85"/>
    <w:rsid w:val="00A1528B"/>
    <w:rsid w:val="00A164C4"/>
    <w:rsid w:val="00A201AE"/>
    <w:rsid w:val="00A22479"/>
    <w:rsid w:val="00A237A9"/>
    <w:rsid w:val="00A24C6C"/>
    <w:rsid w:val="00A30660"/>
    <w:rsid w:val="00A356E9"/>
    <w:rsid w:val="00A4706E"/>
    <w:rsid w:val="00A47147"/>
    <w:rsid w:val="00A54A60"/>
    <w:rsid w:val="00A640AB"/>
    <w:rsid w:val="00A66B54"/>
    <w:rsid w:val="00A829B7"/>
    <w:rsid w:val="00A82C92"/>
    <w:rsid w:val="00A84469"/>
    <w:rsid w:val="00A92595"/>
    <w:rsid w:val="00AA2672"/>
    <w:rsid w:val="00AA31FF"/>
    <w:rsid w:val="00AB0E4C"/>
    <w:rsid w:val="00AB1450"/>
    <w:rsid w:val="00AB22E9"/>
    <w:rsid w:val="00AB6C97"/>
    <w:rsid w:val="00AB7540"/>
    <w:rsid w:val="00AC4968"/>
    <w:rsid w:val="00AD0D0C"/>
    <w:rsid w:val="00AD28A5"/>
    <w:rsid w:val="00AD333B"/>
    <w:rsid w:val="00AD34C7"/>
    <w:rsid w:val="00AD4610"/>
    <w:rsid w:val="00AD66FA"/>
    <w:rsid w:val="00AE1D31"/>
    <w:rsid w:val="00AE6351"/>
    <w:rsid w:val="00AE79B0"/>
    <w:rsid w:val="00AF0175"/>
    <w:rsid w:val="00AF03AD"/>
    <w:rsid w:val="00AF18FE"/>
    <w:rsid w:val="00AF2228"/>
    <w:rsid w:val="00AF3556"/>
    <w:rsid w:val="00AF502D"/>
    <w:rsid w:val="00B15806"/>
    <w:rsid w:val="00B26334"/>
    <w:rsid w:val="00B341E2"/>
    <w:rsid w:val="00B42D27"/>
    <w:rsid w:val="00B452FC"/>
    <w:rsid w:val="00B45B7C"/>
    <w:rsid w:val="00B53640"/>
    <w:rsid w:val="00B54FDE"/>
    <w:rsid w:val="00B552FE"/>
    <w:rsid w:val="00B727CC"/>
    <w:rsid w:val="00B76A29"/>
    <w:rsid w:val="00B80CEA"/>
    <w:rsid w:val="00B81F89"/>
    <w:rsid w:val="00B91F98"/>
    <w:rsid w:val="00B96566"/>
    <w:rsid w:val="00B969C8"/>
    <w:rsid w:val="00BA476A"/>
    <w:rsid w:val="00BA5EBF"/>
    <w:rsid w:val="00BA65CE"/>
    <w:rsid w:val="00BA6D19"/>
    <w:rsid w:val="00BA7E1A"/>
    <w:rsid w:val="00BB0BF1"/>
    <w:rsid w:val="00BB0FE6"/>
    <w:rsid w:val="00BB3847"/>
    <w:rsid w:val="00BB3E10"/>
    <w:rsid w:val="00BB7425"/>
    <w:rsid w:val="00BC0998"/>
    <w:rsid w:val="00BD0499"/>
    <w:rsid w:val="00BD0C1E"/>
    <w:rsid w:val="00BD1D0F"/>
    <w:rsid w:val="00BD4764"/>
    <w:rsid w:val="00BE479A"/>
    <w:rsid w:val="00BE6EB6"/>
    <w:rsid w:val="00C0196F"/>
    <w:rsid w:val="00C06728"/>
    <w:rsid w:val="00C10694"/>
    <w:rsid w:val="00C119D2"/>
    <w:rsid w:val="00C11ADE"/>
    <w:rsid w:val="00C22D05"/>
    <w:rsid w:val="00C2794E"/>
    <w:rsid w:val="00C3217C"/>
    <w:rsid w:val="00C32D5D"/>
    <w:rsid w:val="00C36463"/>
    <w:rsid w:val="00C45D79"/>
    <w:rsid w:val="00C534D5"/>
    <w:rsid w:val="00C53605"/>
    <w:rsid w:val="00C56DA1"/>
    <w:rsid w:val="00C625FE"/>
    <w:rsid w:val="00C83FC4"/>
    <w:rsid w:val="00C908F5"/>
    <w:rsid w:val="00CA4C87"/>
    <w:rsid w:val="00CB1165"/>
    <w:rsid w:val="00CB7322"/>
    <w:rsid w:val="00CD33D9"/>
    <w:rsid w:val="00CD7CCD"/>
    <w:rsid w:val="00CE6933"/>
    <w:rsid w:val="00CF0AE6"/>
    <w:rsid w:val="00CF20AC"/>
    <w:rsid w:val="00CF3528"/>
    <w:rsid w:val="00D0156A"/>
    <w:rsid w:val="00D04062"/>
    <w:rsid w:val="00D05CEA"/>
    <w:rsid w:val="00D06B4E"/>
    <w:rsid w:val="00D149B9"/>
    <w:rsid w:val="00D20342"/>
    <w:rsid w:val="00D209F3"/>
    <w:rsid w:val="00D21FA9"/>
    <w:rsid w:val="00D2576D"/>
    <w:rsid w:val="00D26979"/>
    <w:rsid w:val="00D3175B"/>
    <w:rsid w:val="00D337DA"/>
    <w:rsid w:val="00D358CA"/>
    <w:rsid w:val="00D4079E"/>
    <w:rsid w:val="00D46781"/>
    <w:rsid w:val="00D46C3A"/>
    <w:rsid w:val="00D476D1"/>
    <w:rsid w:val="00D5135F"/>
    <w:rsid w:val="00D57D61"/>
    <w:rsid w:val="00D633E8"/>
    <w:rsid w:val="00D80B16"/>
    <w:rsid w:val="00D84EC6"/>
    <w:rsid w:val="00D877F3"/>
    <w:rsid w:val="00D9015D"/>
    <w:rsid w:val="00DA2B74"/>
    <w:rsid w:val="00DA3259"/>
    <w:rsid w:val="00DB5D81"/>
    <w:rsid w:val="00DB6129"/>
    <w:rsid w:val="00DB76EA"/>
    <w:rsid w:val="00DC189A"/>
    <w:rsid w:val="00DC3D3E"/>
    <w:rsid w:val="00DC7D01"/>
    <w:rsid w:val="00DD7640"/>
    <w:rsid w:val="00DD7DA3"/>
    <w:rsid w:val="00DE063F"/>
    <w:rsid w:val="00DE5649"/>
    <w:rsid w:val="00DF0239"/>
    <w:rsid w:val="00DF3108"/>
    <w:rsid w:val="00E006EC"/>
    <w:rsid w:val="00E013CB"/>
    <w:rsid w:val="00E04AAD"/>
    <w:rsid w:val="00E07AE9"/>
    <w:rsid w:val="00E13B43"/>
    <w:rsid w:val="00E15C2F"/>
    <w:rsid w:val="00E174F6"/>
    <w:rsid w:val="00E24624"/>
    <w:rsid w:val="00E319C1"/>
    <w:rsid w:val="00E32DDA"/>
    <w:rsid w:val="00E4366B"/>
    <w:rsid w:val="00E44EED"/>
    <w:rsid w:val="00E46327"/>
    <w:rsid w:val="00E474FD"/>
    <w:rsid w:val="00E54B19"/>
    <w:rsid w:val="00E70EBB"/>
    <w:rsid w:val="00E71DCB"/>
    <w:rsid w:val="00E744C8"/>
    <w:rsid w:val="00E74BF6"/>
    <w:rsid w:val="00E74D63"/>
    <w:rsid w:val="00E7525F"/>
    <w:rsid w:val="00E77836"/>
    <w:rsid w:val="00E8102A"/>
    <w:rsid w:val="00E82183"/>
    <w:rsid w:val="00E8257D"/>
    <w:rsid w:val="00E84053"/>
    <w:rsid w:val="00E841AA"/>
    <w:rsid w:val="00E85C8E"/>
    <w:rsid w:val="00E864E7"/>
    <w:rsid w:val="00E902DB"/>
    <w:rsid w:val="00E91C92"/>
    <w:rsid w:val="00EA0D64"/>
    <w:rsid w:val="00EB661B"/>
    <w:rsid w:val="00EB71D7"/>
    <w:rsid w:val="00EC06CC"/>
    <w:rsid w:val="00EC6614"/>
    <w:rsid w:val="00EC703C"/>
    <w:rsid w:val="00ED2B9A"/>
    <w:rsid w:val="00ED320C"/>
    <w:rsid w:val="00EE322F"/>
    <w:rsid w:val="00EE634E"/>
    <w:rsid w:val="00F003A7"/>
    <w:rsid w:val="00F004BF"/>
    <w:rsid w:val="00F05FFE"/>
    <w:rsid w:val="00F11DC6"/>
    <w:rsid w:val="00F15BF5"/>
    <w:rsid w:val="00F24DFC"/>
    <w:rsid w:val="00F31CE2"/>
    <w:rsid w:val="00F43E91"/>
    <w:rsid w:val="00F60FB8"/>
    <w:rsid w:val="00F6467A"/>
    <w:rsid w:val="00F73C1A"/>
    <w:rsid w:val="00F76C61"/>
    <w:rsid w:val="00F8644A"/>
    <w:rsid w:val="00F91E3D"/>
    <w:rsid w:val="00F926B2"/>
    <w:rsid w:val="00F965E0"/>
    <w:rsid w:val="00FA1D1E"/>
    <w:rsid w:val="00FA3D06"/>
    <w:rsid w:val="00FA49A1"/>
    <w:rsid w:val="00FA7C28"/>
    <w:rsid w:val="00FB3A36"/>
    <w:rsid w:val="00FB3F79"/>
    <w:rsid w:val="00FB700B"/>
    <w:rsid w:val="00FC051D"/>
    <w:rsid w:val="00FC4D27"/>
    <w:rsid w:val="00FC6389"/>
    <w:rsid w:val="00FD6E95"/>
    <w:rsid w:val="00FE05CF"/>
    <w:rsid w:val="00FE7640"/>
    <w:rsid w:val="00FF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/>
    <o:shapelayout v:ext="edit">
      <o:idmap v:ext="edit" data="1"/>
    </o:shapelayout>
  </w:shapeDefaults>
  <w:decimalSymbol w:val="."/>
  <w:listSeparator w:val="|"/>
  <w14:docId w14:val="2789C8C4"/>
  <w15:docId w15:val="{D20B5484-1A6A-4CB2-9674-5051FC0C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1A5"/>
  </w:style>
  <w:style w:type="paragraph" w:styleId="Heading1">
    <w:name w:val="heading 1"/>
    <w:basedOn w:val="Normal"/>
    <w:next w:val="Normal"/>
    <w:link w:val="Heading1Char"/>
    <w:uiPriority w:val="9"/>
    <w:qFormat/>
    <w:rsid w:val="00D337DA"/>
    <w:pPr>
      <w:widowControl w:val="0"/>
      <w:autoSpaceDE w:val="0"/>
      <w:autoSpaceDN w:val="0"/>
      <w:spacing w:before="164"/>
      <w:ind w:left="200" w:right="133"/>
      <w:jc w:val="center"/>
      <w:outlineLvl w:val="0"/>
    </w:pPr>
    <w:rPr>
      <w:rFonts w:ascii="Source Sans Pro" w:eastAsia="Verdana" w:hAnsi="Source Sans Pro" w:cs="Verdana"/>
      <w:b/>
      <w:bCs/>
      <w:color w:val="004680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0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A35"/>
  </w:style>
  <w:style w:type="paragraph" w:styleId="Footer">
    <w:name w:val="footer"/>
    <w:basedOn w:val="Normal"/>
    <w:link w:val="FooterChar"/>
    <w:uiPriority w:val="99"/>
    <w:unhideWhenUsed/>
    <w:rsid w:val="00810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A35"/>
  </w:style>
  <w:style w:type="table" w:styleId="TableGrid">
    <w:name w:val="Table Grid"/>
    <w:basedOn w:val="TableNormal"/>
    <w:uiPriority w:val="39"/>
    <w:rsid w:val="00552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55217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13B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B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60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1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15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15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5E8"/>
    <w:rPr>
      <w:b/>
      <w:bCs/>
      <w:sz w:val="20"/>
      <w:szCs w:val="20"/>
    </w:rPr>
  </w:style>
  <w:style w:type="paragraph" w:styleId="NoSpacing">
    <w:name w:val="No Spacing"/>
    <w:uiPriority w:val="1"/>
    <w:qFormat/>
    <w:rsid w:val="00A237A9"/>
  </w:style>
  <w:style w:type="paragraph" w:customStyle="1" w:styleId="Standard1">
    <w:name w:val="Standard1"/>
    <w:basedOn w:val="Normal"/>
    <w:rsid w:val="00374925"/>
    <w:pPr>
      <w:spacing w:before="60" w:after="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075402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D337DA"/>
    <w:rPr>
      <w:rFonts w:ascii="Source Sans Pro" w:eastAsia="Verdana" w:hAnsi="Source Sans Pro" w:cs="Verdana"/>
      <w:b/>
      <w:bCs/>
      <w:color w:val="00468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F9BD.419698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0C65A-7379-4546-A0DC-209D82E6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10</Pages>
  <Words>2324</Words>
  <Characters>13250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Ucare</Company>
  <LinksUpToDate>false</LinksUpToDate>
  <CharactersWithSpaces>15543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 Som</dc:creator>
  <cp:keywords/>
  <dc:description/>
  <cp:lastModifiedBy>Chia Yang</cp:lastModifiedBy>
  <cp:revision>4</cp:revision>
  <cp:lastPrinted>2021-03-05T16:16:00Z</cp:lastPrinted>
  <dcterms:created xsi:type="dcterms:W3CDTF">2025-09-15T15:49:00Z</dcterms:created>
  <dcterms:modified xsi:type="dcterms:W3CDTF">2025-09-19T14:58:00Z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2014-07-24T00:00:00Z</vt:filetime>
  </property>
  <property fmtid="{D5CDD505-2E9C-101B-9397-08002B2CF9AE}" pid="3" name="LastSaved">
    <vt:filetime>2014-10-08T00:00:00Z</vt:filetime>
  </property>
</Properties>
</file>