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6287" w14:textId="67FA93B7" w:rsidR="004A3F96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proofErr w:type="spellStart"/>
      <w:r w:rsidRPr="00A05F99">
        <w:rPr>
          <w:rFonts w:ascii="Verdana" w:eastAsia="Times New Roman" w:hAnsi="Verdana" w:cs="Times New Roman"/>
          <w:bCs/>
          <w:spacing w:val="2"/>
        </w:rPr>
        <w:t>UCare</w:t>
      </w:r>
      <w:r w:rsidR="00440BB7" w:rsidRPr="00A05F99">
        <w:rPr>
          <w:rFonts w:ascii="Verdana" w:eastAsia="Times New Roman" w:hAnsi="Verdana" w:cs="Times New Roman"/>
          <w:bCs/>
          <w:spacing w:val="2"/>
        </w:rPr>
        <w:t>’s</w:t>
      </w:r>
      <w:proofErr w:type="spellEnd"/>
      <w:r w:rsidRPr="00A05F99">
        <w:rPr>
          <w:rFonts w:ascii="Verdana" w:eastAsia="Times New Roman" w:hAnsi="Verdana" w:cs="Times New Roman"/>
          <w:bCs/>
          <w:spacing w:val="2"/>
        </w:rPr>
        <w:t xml:space="preserve"> Pharmacy and Therapeutics Committee (P&amp;T) is a group of physicians and pharmacists that meet throughout </w:t>
      </w:r>
      <w:r w:rsidR="00AD66FA" w:rsidRPr="00A05F99">
        <w:rPr>
          <w:rFonts w:ascii="Verdana" w:eastAsia="Times New Roman" w:hAnsi="Verdana" w:cs="Times New Roman"/>
          <w:bCs/>
          <w:spacing w:val="2"/>
        </w:rPr>
        <w:t>the year to make changes to UCare formularies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 (approved drug list). </w:t>
      </w:r>
      <w:r w:rsidRPr="00A05F99">
        <w:rPr>
          <w:rFonts w:ascii="Verdana" w:eastAsia="Times New Roman" w:hAnsi="Verdana" w:cs="Times New Roman"/>
          <w:bCs/>
          <w:spacing w:val="2"/>
        </w:rPr>
        <w:t>These changes are reviewed based on clinical evidence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, safety, and </w:t>
      </w:r>
      <w:r w:rsidR="00875379" w:rsidRPr="00A05F99">
        <w:rPr>
          <w:rFonts w:ascii="Verdana" w:eastAsia="Times New Roman" w:hAnsi="Verdana" w:cs="Times New Roman"/>
          <w:bCs/>
          <w:spacing w:val="2"/>
        </w:rPr>
        <w:t xml:space="preserve">therapeutic guidelines.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All changes that </w:t>
      </w:r>
      <w:r w:rsidR="0063466E" w:rsidRPr="00A05F99">
        <w:rPr>
          <w:rFonts w:ascii="Verdana" w:eastAsia="Times New Roman" w:hAnsi="Verdana" w:cs="Times New Roman"/>
          <w:bCs/>
          <w:spacing w:val="2"/>
        </w:rPr>
        <w:t xml:space="preserve">are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recommended by P&amp;T </w:t>
      </w:r>
      <w:r w:rsidR="00CB7322" w:rsidRPr="00A05F99">
        <w:rPr>
          <w:rFonts w:ascii="Verdana" w:eastAsia="Times New Roman" w:hAnsi="Verdana" w:cs="Times New Roman"/>
          <w:bCs/>
          <w:spacing w:val="2"/>
        </w:rPr>
        <w:t xml:space="preserve">for the Medicare formularies </w:t>
      </w:r>
      <w:r w:rsidRPr="00A05F99">
        <w:rPr>
          <w:rFonts w:ascii="Verdana" w:eastAsia="Times New Roman" w:hAnsi="Verdana" w:cs="Times New Roman"/>
          <w:bCs/>
          <w:spacing w:val="2"/>
        </w:rPr>
        <w:t>are tentative un</w:t>
      </w:r>
      <w:r w:rsidR="00CB7322" w:rsidRPr="00A05F99">
        <w:rPr>
          <w:rFonts w:ascii="Verdana" w:eastAsia="Times New Roman" w:hAnsi="Verdana" w:cs="Times New Roman"/>
          <w:bCs/>
          <w:spacing w:val="2"/>
        </w:rPr>
        <w:t>til UCare receives final CMS approval.</w:t>
      </w:r>
    </w:p>
    <w:p w14:paraId="65087A81" w14:textId="77777777" w:rsidR="004A3F96" w:rsidRPr="00A05F99" w:rsidRDefault="004A3F96" w:rsidP="004A3F96">
      <w:pPr>
        <w:spacing w:before="24"/>
        <w:ind w:left="569" w:right="-20"/>
        <w:rPr>
          <w:rFonts w:ascii="Verdana" w:eastAsia="Times New Roman" w:hAnsi="Verdana" w:cs="Times New Roman"/>
          <w:bCs/>
          <w:spacing w:val="2"/>
        </w:rPr>
      </w:pPr>
    </w:p>
    <w:p w14:paraId="1150A02D" w14:textId="77777777" w:rsidR="00B81F89" w:rsidRPr="00A05F99" w:rsidRDefault="004A3F9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  <w:u w:val="single"/>
        </w:rPr>
      </w:pPr>
      <w:r w:rsidRPr="00A05F99">
        <w:rPr>
          <w:rFonts w:ascii="Verdana" w:eastAsia="Times New Roman" w:hAnsi="Verdana" w:cs="Times New Roman"/>
          <w:bCs/>
          <w:spacing w:val="2"/>
          <w:u w:val="single"/>
        </w:rPr>
        <w:t>Key:</w:t>
      </w:r>
    </w:p>
    <w:p w14:paraId="5D1D94BF" w14:textId="112F53CD" w:rsidR="00B81F89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Medicare: </w:t>
      </w:r>
      <w:r w:rsidR="001B70F1" w:rsidRPr="00A05F99">
        <w:rPr>
          <w:rFonts w:ascii="Verdana" w:eastAsia="Times New Roman" w:hAnsi="Verdana" w:cs="Times New Roman"/>
          <w:bCs/>
          <w:spacing w:val="2"/>
        </w:rPr>
        <w:t>UC</w:t>
      </w:r>
      <w:r w:rsidR="00B81F89" w:rsidRPr="00A05F99">
        <w:rPr>
          <w:rFonts w:ascii="Verdana" w:eastAsia="Times New Roman" w:hAnsi="Verdana" w:cs="Times New Roman"/>
          <w:bCs/>
          <w:spacing w:val="2"/>
        </w:rPr>
        <w:t>ar</w:t>
      </w:r>
      <w:r w:rsidRPr="00A05F99">
        <w:rPr>
          <w:rFonts w:ascii="Verdana" w:eastAsia="Times New Roman" w:hAnsi="Verdana" w:cs="Times New Roman"/>
          <w:bCs/>
          <w:spacing w:val="2"/>
        </w:rPr>
        <w:t>e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Medicare</w:t>
      </w:r>
      <w:r w:rsidRPr="00A05F99">
        <w:rPr>
          <w:rFonts w:ascii="Verdana" w:eastAsia="Times New Roman" w:hAnsi="Verdana" w:cs="Times New Roman"/>
          <w:bCs/>
          <w:spacing w:val="2"/>
        </w:rPr>
        <w:t>,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UCare Medicare with Fairview and North Memorial,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UCare Group Medicare, </w:t>
      </w:r>
      <w:proofErr w:type="spellStart"/>
      <w:r w:rsidR="00523363" w:rsidRPr="00A05F99">
        <w:rPr>
          <w:rFonts w:ascii="Verdana" w:eastAsia="Times New Roman" w:hAnsi="Verdana" w:cs="Times New Roman"/>
          <w:bCs/>
          <w:spacing w:val="2"/>
        </w:rPr>
        <w:t>EssentiaCare</w:t>
      </w:r>
      <w:proofErr w:type="spellEnd"/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, </w:t>
      </w:r>
      <w:r w:rsidRPr="00A05F99">
        <w:rPr>
          <w:rFonts w:ascii="Verdana" w:eastAsia="Times New Roman" w:hAnsi="Verdana" w:cs="Times New Roman"/>
          <w:bCs/>
          <w:spacing w:val="2"/>
        </w:rPr>
        <w:t>Minnesota Sen</w:t>
      </w:r>
      <w:r w:rsidR="00523363" w:rsidRPr="00A05F99">
        <w:rPr>
          <w:rFonts w:ascii="Verdana" w:eastAsia="Times New Roman" w:hAnsi="Verdana" w:cs="Times New Roman"/>
          <w:bCs/>
          <w:spacing w:val="2"/>
        </w:rPr>
        <w:t>ior Health Options</w:t>
      </w:r>
      <w:r w:rsidR="005A0F54" w:rsidRPr="00A05F99">
        <w:rPr>
          <w:rFonts w:ascii="Verdana" w:eastAsia="Times New Roman" w:hAnsi="Verdana" w:cs="Times New Roman"/>
          <w:bCs/>
          <w:spacing w:val="2"/>
        </w:rPr>
        <w:t xml:space="preserve"> (MSHO)</w:t>
      </w:r>
      <w:r w:rsidR="00523363" w:rsidRPr="00A05F99">
        <w:rPr>
          <w:rFonts w:ascii="Verdana" w:eastAsia="Times New Roman" w:hAnsi="Verdana" w:cs="Times New Roman"/>
          <w:bCs/>
          <w:spacing w:val="2"/>
        </w:rPr>
        <w:t xml:space="preserve"> </w:t>
      </w:r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&amp; </w:t>
      </w:r>
      <w:proofErr w:type="gramStart"/>
      <w:r w:rsidR="005C2E2A" w:rsidRPr="00A05F99">
        <w:rPr>
          <w:rFonts w:ascii="Verdana" w:eastAsia="Times New Roman" w:hAnsi="Verdana" w:cs="Times New Roman"/>
          <w:bCs/>
          <w:spacing w:val="2"/>
        </w:rPr>
        <w:t>Connect</w:t>
      </w:r>
      <w:proofErr w:type="gramEnd"/>
      <w:r w:rsidR="005C2E2A" w:rsidRPr="00A05F99">
        <w:rPr>
          <w:rFonts w:ascii="Verdana" w:eastAsia="Times New Roman" w:hAnsi="Verdana" w:cs="Times New Roman"/>
          <w:bCs/>
          <w:spacing w:val="2"/>
        </w:rPr>
        <w:t xml:space="preserve"> + Medicare </w:t>
      </w:r>
    </w:p>
    <w:p w14:paraId="7EDBF446" w14:textId="712FB4C0" w:rsidR="0005632B" w:rsidRPr="00A05F99" w:rsidRDefault="00854C16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>
        <w:rPr>
          <w:rFonts w:ascii="Verdana" w:eastAsia="Times New Roman" w:hAnsi="Verdana" w:cs="Times New Roman"/>
          <w:bCs/>
          <w:spacing w:val="2"/>
        </w:rPr>
        <w:t>Medical Assistance</w:t>
      </w:r>
      <w:r w:rsidR="00400E1D" w:rsidRPr="00A05F99">
        <w:rPr>
          <w:rFonts w:ascii="Verdana" w:eastAsia="Times New Roman" w:hAnsi="Verdana" w:cs="Times New Roman"/>
          <w:bCs/>
          <w:spacing w:val="2"/>
        </w:rPr>
        <w:t xml:space="preserve">: PMAP, </w:t>
      </w:r>
      <w:proofErr w:type="spellStart"/>
      <w:r w:rsidR="00400E1D" w:rsidRPr="00A05F99">
        <w:rPr>
          <w:rFonts w:ascii="Verdana" w:eastAsia="Times New Roman" w:hAnsi="Verdana" w:cs="Times New Roman"/>
          <w:bCs/>
          <w:spacing w:val="2"/>
        </w:rPr>
        <w:t>MnCare</w:t>
      </w:r>
      <w:proofErr w:type="spellEnd"/>
      <w:r w:rsidR="00400E1D" w:rsidRPr="00A05F99">
        <w:rPr>
          <w:rFonts w:ascii="Verdana" w:eastAsia="Times New Roman" w:hAnsi="Verdana" w:cs="Times New Roman"/>
          <w:bCs/>
          <w:spacing w:val="2"/>
        </w:rPr>
        <w:t>, MSC+ &amp; Connect</w:t>
      </w:r>
    </w:p>
    <w:p w14:paraId="6F77E887" w14:textId="5944DAAC" w:rsidR="00400E1D" w:rsidRPr="00A05F99" w:rsidRDefault="00400E1D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 xml:space="preserve">Exchange: UCare </w:t>
      </w:r>
      <w:r w:rsidR="005A0F54" w:rsidRPr="00A05F99">
        <w:rPr>
          <w:rFonts w:ascii="Verdana" w:eastAsia="Times New Roman" w:hAnsi="Verdana" w:cs="Times New Roman"/>
          <w:bCs/>
          <w:spacing w:val="2"/>
        </w:rPr>
        <w:t>Individual and Family Plans</w:t>
      </w:r>
    </w:p>
    <w:p w14:paraId="4185E2F5" w14:textId="77777777" w:rsidR="00303B44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p w14:paraId="7985106C" w14:textId="0A85FDAA" w:rsidR="004A3F96" w:rsidRPr="00A05F99" w:rsidRDefault="00303B44" w:rsidP="00CB7322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Formulary</w:t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  <w:r w:rsidR="00B81F89"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00D3FA92" w14:textId="7173AA21" w:rsidR="00173929" w:rsidRPr="00A05F99" w:rsidRDefault="00173929" w:rsidP="00173929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NF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Non-formulary</w:t>
      </w:r>
    </w:p>
    <w:p w14:paraId="5F4065EA" w14:textId="7C8229A1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PA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 xml:space="preserve">Prior Authorization </w:t>
      </w:r>
    </w:p>
    <w:p w14:paraId="2971532A" w14:textId="05202C80" w:rsidR="00844806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QL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Quantity Limit</w:t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  <w:r w:rsidRPr="00A05F99">
        <w:rPr>
          <w:rFonts w:ascii="Verdana" w:eastAsia="Times New Roman" w:hAnsi="Verdana" w:cs="Times New Roman"/>
          <w:bCs/>
          <w:spacing w:val="2"/>
        </w:rPr>
        <w:tab/>
      </w:r>
    </w:p>
    <w:p w14:paraId="495D3ADA" w14:textId="6D1B218A" w:rsidR="004934D4" w:rsidRPr="00A05F99" w:rsidRDefault="004934D4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  <w:r w:rsidRPr="00A05F99">
        <w:rPr>
          <w:rFonts w:ascii="Verdana" w:eastAsia="Times New Roman" w:hAnsi="Verdana" w:cs="Times New Roman"/>
          <w:bCs/>
          <w:spacing w:val="2"/>
        </w:rPr>
        <w:t>ST</w:t>
      </w:r>
      <w:r w:rsidR="00347603" w:rsidRPr="00A05F99">
        <w:rPr>
          <w:rFonts w:ascii="Verdana" w:eastAsia="Times New Roman" w:hAnsi="Verdana" w:cs="Times New Roman"/>
          <w:bCs/>
          <w:spacing w:val="2"/>
        </w:rPr>
        <w:t xml:space="preserve">: </w:t>
      </w:r>
      <w:r w:rsidRPr="00A05F99">
        <w:rPr>
          <w:rFonts w:ascii="Verdana" w:eastAsia="Times New Roman" w:hAnsi="Verdana" w:cs="Times New Roman"/>
          <w:bCs/>
          <w:spacing w:val="2"/>
        </w:rPr>
        <w:t>Step Therapy</w:t>
      </w:r>
    </w:p>
    <w:p w14:paraId="440A392E" w14:textId="63A1AAD7" w:rsidR="005E2989" w:rsidRDefault="005E2989" w:rsidP="00844806">
      <w:pPr>
        <w:spacing w:before="24"/>
        <w:ind w:right="-20"/>
        <w:rPr>
          <w:rFonts w:ascii="Verdana" w:eastAsia="Times New Roman" w:hAnsi="Verdana" w:cs="Times New Roman"/>
          <w:bCs/>
          <w:spacing w:val="2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4B4A2D" w:rsidRPr="00BA7E1A" w14:paraId="39A37783" w14:textId="77777777" w:rsidTr="004A4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p w14:paraId="1C3508E8" w14:textId="27723C7B" w:rsidR="004B4A2D" w:rsidRPr="00852F8C" w:rsidRDefault="004B4A2D" w:rsidP="00FB39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852F8C">
              <w:rPr>
                <w:rFonts w:ascii="Verdana" w:hAnsi="Verdana"/>
                <w:sz w:val="20"/>
                <w:szCs w:val="20"/>
              </w:rPr>
              <w:t xml:space="preserve">New </w:t>
            </w:r>
            <w:r w:rsidR="004A4967" w:rsidRPr="00852F8C">
              <w:rPr>
                <w:rFonts w:ascii="Verdana" w:hAnsi="Verdana"/>
                <w:sz w:val="20"/>
                <w:szCs w:val="20"/>
              </w:rPr>
              <w:t>Drug</w:t>
            </w:r>
            <w:r w:rsidRPr="00852F8C">
              <w:rPr>
                <w:rFonts w:ascii="Verdana" w:hAnsi="Verdana"/>
                <w:sz w:val="20"/>
                <w:szCs w:val="20"/>
              </w:rPr>
              <w:t xml:space="preserve"> Review </w:t>
            </w:r>
          </w:p>
        </w:tc>
      </w:tr>
    </w:tbl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970"/>
        <w:gridCol w:w="3330"/>
        <w:gridCol w:w="3150"/>
        <w:gridCol w:w="1440"/>
      </w:tblGrid>
      <w:tr w:rsidR="00E77836" w14:paraId="28A73A21" w14:textId="77777777" w:rsidTr="00B727CC">
        <w:tc>
          <w:tcPr>
            <w:tcW w:w="2970" w:type="dxa"/>
          </w:tcPr>
          <w:p w14:paraId="4F2C9E27" w14:textId="77777777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 xml:space="preserve">Drug </w:t>
            </w:r>
          </w:p>
        </w:tc>
        <w:tc>
          <w:tcPr>
            <w:tcW w:w="3330" w:type="dxa"/>
          </w:tcPr>
          <w:p w14:paraId="7DBC1588" w14:textId="492A40AC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Indication</w:t>
            </w:r>
          </w:p>
        </w:tc>
        <w:tc>
          <w:tcPr>
            <w:tcW w:w="3150" w:type="dxa"/>
          </w:tcPr>
          <w:p w14:paraId="6E42E2D8" w14:textId="302EC425" w:rsidR="004B4A2D" w:rsidRPr="00A05F99" w:rsidRDefault="004B4A2D" w:rsidP="00FB392C">
            <w:pPr>
              <w:spacing w:after="240"/>
              <w:rPr>
                <w:rFonts w:ascii="Verdana" w:hAnsi="Verdana"/>
                <w:b/>
                <w:bCs/>
              </w:rPr>
            </w:pPr>
            <w:r w:rsidRPr="00A05F99">
              <w:rPr>
                <w:rFonts w:ascii="Verdana" w:hAnsi="Verdana"/>
                <w:b/>
                <w:bCs/>
              </w:rPr>
              <w:t>Formulary Coverage</w:t>
            </w:r>
          </w:p>
        </w:tc>
        <w:tc>
          <w:tcPr>
            <w:tcW w:w="1440" w:type="dxa"/>
          </w:tcPr>
          <w:p w14:paraId="3392FAAB" w14:textId="66DD6409" w:rsidR="004B4A2D" w:rsidRPr="00A05F99" w:rsidRDefault="004B4A2D" w:rsidP="00FB392C">
            <w:pPr>
              <w:spacing w:after="240"/>
              <w:rPr>
                <w:rFonts w:ascii="Verdana" w:hAnsi="Verdana"/>
              </w:rPr>
            </w:pPr>
            <w:r w:rsidRPr="00A05F99">
              <w:rPr>
                <w:rFonts w:ascii="Verdana" w:hAnsi="Verdana"/>
                <w:b/>
                <w:bCs/>
              </w:rPr>
              <w:t>Effective Date</w:t>
            </w:r>
          </w:p>
        </w:tc>
      </w:tr>
      <w:tr w:rsidR="0073594F" w:rsidRPr="00852F8C" w14:paraId="2427BC04" w14:textId="77777777" w:rsidTr="00B727CC">
        <w:tc>
          <w:tcPr>
            <w:tcW w:w="2970" w:type="dxa"/>
          </w:tcPr>
          <w:p w14:paraId="326DCCD2" w14:textId="67D2FD22" w:rsidR="0073594F" w:rsidRPr="00E8257D" w:rsidRDefault="00F11DC6" w:rsidP="0073594F">
            <w:pPr>
              <w:rPr>
                <w:rFonts w:ascii="Verdana" w:hAnsi="Verdana" w:cs="Arial"/>
                <w:bCs/>
              </w:rPr>
            </w:pPr>
            <w:proofErr w:type="spellStart"/>
            <w:r>
              <w:rPr>
                <w:rFonts w:ascii="Verdana" w:hAnsi="Verdana" w:cs="Arial"/>
                <w:b/>
              </w:rPr>
              <w:t>Ebglyss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r w:rsidRPr="00F11DC6">
              <w:rPr>
                <w:rFonts w:ascii="Verdana" w:hAnsi="Verdana" w:cs="Arial"/>
                <w:bCs/>
              </w:rPr>
              <w:t>(lebrikizumab)</w:t>
            </w:r>
          </w:p>
        </w:tc>
        <w:tc>
          <w:tcPr>
            <w:tcW w:w="3330" w:type="dxa"/>
          </w:tcPr>
          <w:p w14:paraId="39575D0C" w14:textId="0CC0C469" w:rsidR="0073594F" w:rsidRPr="00837406" w:rsidRDefault="00F11DC6" w:rsidP="0073594F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A05704">
              <w:rPr>
                <w:rFonts w:ascii="Verdana" w:hAnsi="Verdana" w:cstheme="minorHAnsi"/>
                <w:iCs/>
              </w:rPr>
              <w:t>for the treatment of adults and pediatric patients 12 years of age and older who weigh at least 40 kg with moderate-to-severe atopic dermatitis whose disease is not adequately controlled with topical prescription therapies or when those therapies are not advisable.</w:t>
            </w:r>
          </w:p>
        </w:tc>
        <w:tc>
          <w:tcPr>
            <w:tcW w:w="3150" w:type="dxa"/>
          </w:tcPr>
          <w:p w14:paraId="01BA5FB5" w14:textId="68BE0035" w:rsidR="0073594F" w:rsidRPr="00B727CC" w:rsidRDefault="0073594F" w:rsidP="0073594F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 w:rsidR="00F11DC6">
              <w:rPr>
                <w:rFonts w:ascii="Verdana" w:hAnsi="Verdana"/>
              </w:rPr>
              <w:t>Non-Formulary</w:t>
            </w:r>
          </w:p>
          <w:p w14:paraId="376ADAB1" w14:textId="0D05DDA3" w:rsidR="0073594F" w:rsidRPr="00B727CC" w:rsidRDefault="00854C16" w:rsidP="0073594F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73594F" w:rsidRPr="00B727CC">
              <w:rPr>
                <w:rFonts w:ascii="Verdana" w:hAnsi="Verdana"/>
              </w:rPr>
              <w:t xml:space="preserve">: </w:t>
            </w:r>
            <w:r w:rsidR="00F11DC6">
              <w:rPr>
                <w:rFonts w:ascii="Verdana" w:hAnsi="Verdana"/>
              </w:rPr>
              <w:t>Non-Formulary</w:t>
            </w:r>
            <w:r w:rsidR="00E8257D" w:rsidRPr="00B727CC">
              <w:rPr>
                <w:rFonts w:ascii="Verdana" w:hAnsi="Verdana"/>
              </w:rPr>
              <w:t xml:space="preserve"> </w:t>
            </w:r>
            <w:r w:rsidR="0073594F" w:rsidRPr="00B727CC">
              <w:rPr>
                <w:rFonts w:ascii="Verdana" w:hAnsi="Verdana"/>
              </w:rPr>
              <w:t xml:space="preserve">Exchange: </w:t>
            </w:r>
            <w:r w:rsidR="00F11DC6">
              <w:rPr>
                <w:rFonts w:ascii="Verdana" w:hAnsi="Verdana"/>
              </w:rPr>
              <w:t>Non-Formulary</w:t>
            </w:r>
          </w:p>
          <w:p w14:paraId="22F75EC4" w14:textId="77777777" w:rsidR="0073594F" w:rsidRPr="00B727CC" w:rsidRDefault="0073594F" w:rsidP="0073594F">
            <w:pPr>
              <w:rPr>
                <w:rFonts w:ascii="Verdana" w:hAnsi="Verdana"/>
              </w:rPr>
            </w:pPr>
          </w:p>
          <w:p w14:paraId="44B475AE" w14:textId="20D84793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0B112B8" w14:textId="78B85DD8" w:rsidR="0073594F" w:rsidRPr="00B727CC" w:rsidRDefault="0073594F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12F2BC56" w14:textId="77777777" w:rsidTr="00B727CC">
        <w:tc>
          <w:tcPr>
            <w:tcW w:w="2970" w:type="dxa"/>
          </w:tcPr>
          <w:p w14:paraId="2364AE83" w14:textId="723C71DF" w:rsidR="0073594F" w:rsidRPr="00E8257D" w:rsidRDefault="00F11DC6" w:rsidP="0073594F">
            <w:pPr>
              <w:rPr>
                <w:rFonts w:ascii="Verdana" w:hAnsi="Verdana" w:cs="Arial"/>
                <w:bCs/>
              </w:rPr>
            </w:pPr>
            <w:proofErr w:type="spellStart"/>
            <w:r>
              <w:rPr>
                <w:rFonts w:ascii="Verdana" w:hAnsi="Verdana"/>
                <w:b/>
              </w:rPr>
              <w:t>Nemluvio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r w:rsidRPr="00F11DC6">
              <w:rPr>
                <w:rFonts w:ascii="Verdana" w:hAnsi="Verdana"/>
                <w:bCs/>
              </w:rPr>
              <w:t>(</w:t>
            </w:r>
            <w:proofErr w:type="spellStart"/>
            <w:r w:rsidRPr="00F11DC6">
              <w:rPr>
                <w:rFonts w:ascii="Verdana" w:hAnsi="Verdana"/>
                <w:bCs/>
              </w:rPr>
              <w:t>nemolizumab</w:t>
            </w:r>
            <w:proofErr w:type="spellEnd"/>
            <w:r w:rsidRPr="00F11DC6">
              <w:rPr>
                <w:rFonts w:ascii="Verdana" w:hAnsi="Verdana"/>
                <w:bCs/>
              </w:rPr>
              <w:t>)</w:t>
            </w:r>
          </w:p>
        </w:tc>
        <w:tc>
          <w:tcPr>
            <w:tcW w:w="3330" w:type="dxa"/>
          </w:tcPr>
          <w:p w14:paraId="68879A63" w14:textId="6AD990E8" w:rsidR="0073594F" w:rsidRPr="005A5771" w:rsidRDefault="00F11DC6" w:rsidP="0073594F">
            <w:pPr>
              <w:rPr>
                <w:rFonts w:ascii="Verdana" w:hAnsi="Verdana"/>
                <w:b/>
                <w:u w:val="single"/>
              </w:rPr>
            </w:pPr>
            <w:r w:rsidRPr="00A05704">
              <w:rPr>
                <w:rFonts w:ascii="Verdana" w:hAnsi="Verdana" w:cstheme="minorHAnsi"/>
                <w:iCs/>
              </w:rPr>
              <w:t>for the treatment of adults and pediatric patients 12 years of age and older with moderate-to-severe atopic dermatitis in combination with topical corticosteroids and/or calcineurin inhibitors when the disease is not adequately controlled with topical prescription therapies.</w:t>
            </w:r>
          </w:p>
        </w:tc>
        <w:tc>
          <w:tcPr>
            <w:tcW w:w="3150" w:type="dxa"/>
          </w:tcPr>
          <w:p w14:paraId="1C752640" w14:textId="206B32E1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55491D12" w14:textId="691F3461" w:rsidR="005A5771" w:rsidRPr="00B727CC" w:rsidRDefault="00854C16" w:rsidP="005A5771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5A5771" w:rsidRPr="00B727CC">
              <w:rPr>
                <w:rFonts w:ascii="Verdana" w:hAnsi="Verdana"/>
              </w:rPr>
              <w:t xml:space="preserve">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70ED21BD" w14:textId="2580A908" w:rsidR="005A5771" w:rsidRPr="00B727CC" w:rsidRDefault="005A5771" w:rsidP="005A5771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Exchange: </w:t>
            </w:r>
            <w:r w:rsidR="00E8257D" w:rsidRPr="00B727CC">
              <w:rPr>
                <w:rFonts w:ascii="Verdana" w:hAnsi="Verdana"/>
              </w:rPr>
              <w:t>Formulary</w:t>
            </w:r>
            <w:r w:rsidR="00E8257D">
              <w:rPr>
                <w:rFonts w:ascii="Verdana" w:hAnsi="Verdana"/>
              </w:rPr>
              <w:t xml:space="preserve"> w/PA</w:t>
            </w:r>
          </w:p>
          <w:p w14:paraId="38B94024" w14:textId="500FF5A0" w:rsidR="0073594F" w:rsidRPr="00B727CC" w:rsidRDefault="0073594F" w:rsidP="0073594F">
            <w:pPr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7DAE0E7" w14:textId="7D393568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244883DA" w14:textId="77777777" w:rsidTr="00B727CC">
        <w:tc>
          <w:tcPr>
            <w:tcW w:w="2970" w:type="dxa"/>
          </w:tcPr>
          <w:p w14:paraId="052FEE7C" w14:textId="699AA4E1" w:rsidR="00330E7F" w:rsidRPr="00B727CC" w:rsidRDefault="00F11DC6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</w:rPr>
              <w:lastRenderedPageBreak/>
              <w:t>Iquirvo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r w:rsidRPr="00F11DC6">
              <w:rPr>
                <w:rFonts w:ascii="Verdana" w:hAnsi="Verdana" w:cs="Arial"/>
                <w:bCs/>
              </w:rPr>
              <w:t>(</w:t>
            </w:r>
            <w:proofErr w:type="spellStart"/>
            <w:r w:rsidRPr="00F11DC6">
              <w:rPr>
                <w:rFonts w:ascii="Verdana" w:hAnsi="Verdana" w:cs="Arial"/>
                <w:bCs/>
              </w:rPr>
              <w:t>elafibranor</w:t>
            </w:r>
            <w:proofErr w:type="spellEnd"/>
            <w:r w:rsidRPr="00F11DC6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1ADCCA37" w14:textId="30CA4AC2" w:rsidR="0073594F" w:rsidRPr="00E8257D" w:rsidRDefault="00F11DC6" w:rsidP="0073594F">
            <w:pPr>
              <w:rPr>
                <w:rFonts w:ascii="Verdana" w:hAnsi="Verdana" w:cstheme="minorHAnsi"/>
              </w:rPr>
            </w:pPr>
            <w:r w:rsidRPr="00A05704">
              <w:rPr>
                <w:rFonts w:ascii="Verdana" w:hAnsi="Verdana" w:cstheme="minorHAnsi"/>
                <w:iCs/>
              </w:rPr>
              <w:t>Primary biliary cholangitis (PBC) in combination with ursodiol in adults who have an inadequate response to ursodiol, or as monotherapy in patients unable to tolerate ursodiol</w:t>
            </w:r>
          </w:p>
        </w:tc>
        <w:tc>
          <w:tcPr>
            <w:tcW w:w="3150" w:type="dxa"/>
          </w:tcPr>
          <w:p w14:paraId="154EB65A" w14:textId="77777777" w:rsidR="00F11DC6" w:rsidRPr="00B727CC" w:rsidRDefault="00F11DC6" w:rsidP="00F11DC6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07B66241" w14:textId="6613DF5B" w:rsidR="00F11DC6" w:rsidRPr="00B727CC" w:rsidRDefault="00854C16" w:rsidP="00F11DC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F11DC6" w:rsidRPr="00B727CC">
              <w:rPr>
                <w:rFonts w:ascii="Verdana" w:hAnsi="Verdana"/>
              </w:rPr>
              <w:t xml:space="preserve">: </w:t>
            </w:r>
            <w:r w:rsidR="00F11DC6">
              <w:rPr>
                <w:rFonts w:ascii="Verdana" w:hAnsi="Verdana"/>
              </w:rPr>
              <w:t>Non-Formulary</w:t>
            </w:r>
            <w:r w:rsidR="00F11DC6" w:rsidRPr="00B727CC">
              <w:rPr>
                <w:rFonts w:ascii="Verdana" w:hAnsi="Verdana"/>
              </w:rPr>
              <w:t xml:space="preserve"> Exchange: </w:t>
            </w:r>
            <w:r w:rsidR="00F11DC6">
              <w:rPr>
                <w:rFonts w:ascii="Verdana" w:hAnsi="Verdana"/>
              </w:rPr>
              <w:t>Non-Formulary</w:t>
            </w:r>
          </w:p>
          <w:p w14:paraId="34C32304" w14:textId="205CA4AD" w:rsidR="0073594F" w:rsidRPr="00B727CC" w:rsidRDefault="0073594F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5CB19907" w14:textId="16C2E00D" w:rsidR="0073594F" w:rsidRPr="00B727CC" w:rsidRDefault="005A5771" w:rsidP="0073594F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73594F" w:rsidRPr="00852F8C" w14:paraId="4EE1C15E" w14:textId="77777777" w:rsidTr="00B727CC">
        <w:tc>
          <w:tcPr>
            <w:tcW w:w="2970" w:type="dxa"/>
          </w:tcPr>
          <w:p w14:paraId="78D228E7" w14:textId="1C39441F" w:rsidR="00330E7F" w:rsidRPr="00B727CC" w:rsidRDefault="00F11DC6" w:rsidP="0073594F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</w:rPr>
              <w:t>Livdelzi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r w:rsidRPr="00F11DC6">
              <w:rPr>
                <w:rFonts w:ascii="Verdana" w:hAnsi="Verdana" w:cs="Arial"/>
                <w:bCs/>
              </w:rPr>
              <w:t>(</w:t>
            </w:r>
            <w:proofErr w:type="spellStart"/>
            <w:r w:rsidRPr="00F11DC6">
              <w:rPr>
                <w:rFonts w:ascii="Verdana" w:hAnsi="Verdana" w:cs="Arial"/>
                <w:bCs/>
              </w:rPr>
              <w:t>seladelpar</w:t>
            </w:r>
            <w:proofErr w:type="spellEnd"/>
            <w:r w:rsidRPr="00F11DC6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31782812" w14:textId="0C8B597C" w:rsidR="0073594F" w:rsidRPr="00F6467A" w:rsidRDefault="00F11DC6" w:rsidP="0073594F">
            <w:pPr>
              <w:rPr>
                <w:rFonts w:ascii="Verdana" w:hAnsi="Verdana"/>
                <w:bCs/>
              </w:rPr>
            </w:pPr>
            <w:r w:rsidRPr="00A05704">
              <w:rPr>
                <w:rFonts w:ascii="Verdana" w:hAnsi="Verdana" w:cstheme="minorHAnsi"/>
                <w:iCs/>
              </w:rPr>
              <w:t>Primary biliary cholangitis (PBC) in combination with ursodiol in adults who have an inadequate response to ursodiol, or as monotherapy in patients unable to tolerate ursodiol</w:t>
            </w:r>
          </w:p>
        </w:tc>
        <w:tc>
          <w:tcPr>
            <w:tcW w:w="3150" w:type="dxa"/>
          </w:tcPr>
          <w:p w14:paraId="79C52F82" w14:textId="77777777" w:rsidR="00F11DC6" w:rsidRPr="00B727CC" w:rsidRDefault="00F11DC6" w:rsidP="00F11DC6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1CBC7482" w14:textId="15E35BAD" w:rsidR="00F11DC6" w:rsidRPr="00B727CC" w:rsidRDefault="00854C16" w:rsidP="00F11DC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F11DC6" w:rsidRPr="00B727CC">
              <w:rPr>
                <w:rFonts w:ascii="Verdana" w:hAnsi="Verdana"/>
              </w:rPr>
              <w:t xml:space="preserve">: </w:t>
            </w:r>
            <w:r w:rsidR="00F11DC6">
              <w:rPr>
                <w:rFonts w:ascii="Verdana" w:hAnsi="Verdana"/>
              </w:rPr>
              <w:t>Non-Formulary</w:t>
            </w:r>
            <w:r w:rsidR="00F11DC6" w:rsidRPr="00B727CC">
              <w:rPr>
                <w:rFonts w:ascii="Verdana" w:hAnsi="Verdana"/>
              </w:rPr>
              <w:t xml:space="preserve"> Exchange: </w:t>
            </w:r>
            <w:r w:rsidR="00F11DC6">
              <w:rPr>
                <w:rFonts w:ascii="Verdana" w:hAnsi="Verdana"/>
              </w:rPr>
              <w:t>Non-Formulary</w:t>
            </w:r>
          </w:p>
          <w:p w14:paraId="69A601A5" w14:textId="77777777" w:rsidR="0073594F" w:rsidRPr="00B727CC" w:rsidRDefault="0073594F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2099FF3E" w14:textId="4D1A2392" w:rsidR="0073594F" w:rsidRPr="00B727CC" w:rsidRDefault="005A5771" w:rsidP="0073594F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3E5867" w:rsidRPr="00852F8C" w14:paraId="20D0C506" w14:textId="77777777" w:rsidTr="00B727CC">
        <w:tc>
          <w:tcPr>
            <w:tcW w:w="2970" w:type="dxa"/>
          </w:tcPr>
          <w:p w14:paraId="07089E0F" w14:textId="79F158F0" w:rsidR="005A5771" w:rsidRPr="00B727CC" w:rsidRDefault="00F11DC6" w:rsidP="00E8257D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</w:rPr>
              <w:t>Journavx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r w:rsidRPr="00F11DC6">
              <w:rPr>
                <w:rFonts w:ascii="Verdana" w:hAnsi="Verdana" w:cs="Arial"/>
                <w:bCs/>
              </w:rPr>
              <w:t>(</w:t>
            </w:r>
            <w:proofErr w:type="spellStart"/>
            <w:r w:rsidRPr="00F11DC6">
              <w:rPr>
                <w:rFonts w:ascii="Verdana" w:hAnsi="Verdana" w:cs="Arial"/>
                <w:bCs/>
              </w:rPr>
              <w:t>suzetrigine</w:t>
            </w:r>
            <w:proofErr w:type="spellEnd"/>
            <w:r w:rsidRPr="00F11DC6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70A454CD" w14:textId="173033A7" w:rsidR="003E5867" w:rsidRPr="00B01345" w:rsidRDefault="00F11DC6" w:rsidP="003E5867">
            <w:pPr>
              <w:rPr>
                <w:rFonts w:ascii="Verdana" w:hAnsi="Verdana" w:cstheme="minorHAnsi"/>
                <w:sz w:val="20"/>
                <w:szCs w:val="20"/>
              </w:rPr>
            </w:pPr>
            <w:r w:rsidRPr="00A05704">
              <w:rPr>
                <w:rFonts w:ascii="Verdana" w:hAnsi="Verdana"/>
                <w:bCs/>
              </w:rPr>
              <w:t>treatment of moderate to severe acute pain in adults</w:t>
            </w:r>
          </w:p>
        </w:tc>
        <w:tc>
          <w:tcPr>
            <w:tcW w:w="3150" w:type="dxa"/>
          </w:tcPr>
          <w:p w14:paraId="0C5230C2" w14:textId="77777777" w:rsidR="00F11DC6" w:rsidRPr="00B727CC" w:rsidRDefault="00F11DC6" w:rsidP="00F11DC6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6B5634E1" w14:textId="23F1850C" w:rsidR="003E5867" w:rsidRPr="00B727CC" w:rsidRDefault="00854C16" w:rsidP="00F11DC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F11DC6" w:rsidRPr="00B727CC">
              <w:rPr>
                <w:rFonts w:ascii="Verdana" w:hAnsi="Verdana"/>
              </w:rPr>
              <w:t xml:space="preserve">: </w:t>
            </w:r>
            <w:r w:rsidR="00F11DC6">
              <w:rPr>
                <w:rFonts w:ascii="Verdana" w:hAnsi="Verdana"/>
              </w:rPr>
              <w:t>Non-Formulary</w:t>
            </w:r>
            <w:r w:rsidR="00F11DC6" w:rsidRPr="00B727CC">
              <w:rPr>
                <w:rFonts w:ascii="Verdana" w:hAnsi="Verdana"/>
              </w:rPr>
              <w:t xml:space="preserve"> Exchange: </w:t>
            </w:r>
            <w:r w:rsidR="00F11DC6">
              <w:rPr>
                <w:rFonts w:ascii="Verdana" w:hAnsi="Verdana"/>
              </w:rPr>
              <w:t>Non-Formulary</w:t>
            </w:r>
          </w:p>
        </w:tc>
        <w:tc>
          <w:tcPr>
            <w:tcW w:w="1440" w:type="dxa"/>
          </w:tcPr>
          <w:p w14:paraId="6537980B" w14:textId="7ED37180" w:rsidR="003E5867" w:rsidRPr="00B727CC" w:rsidRDefault="005A5771" w:rsidP="003E5867">
            <w:pPr>
              <w:rPr>
                <w:rFonts w:ascii="Verdana" w:hAnsi="Verdana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2F8EE3BE" w14:textId="77777777" w:rsidTr="00B727CC">
        <w:tc>
          <w:tcPr>
            <w:tcW w:w="2970" w:type="dxa"/>
          </w:tcPr>
          <w:p w14:paraId="54A24F44" w14:textId="40E613DC" w:rsidR="005A5771" w:rsidRPr="00021C33" w:rsidRDefault="00021C33" w:rsidP="003E5867">
            <w:pPr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Agamree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r w:rsidRPr="00021C33">
              <w:rPr>
                <w:rFonts w:ascii="Verdana" w:hAnsi="Verdana" w:cs="Arial"/>
                <w:bCs/>
              </w:rPr>
              <w:t>(</w:t>
            </w:r>
            <w:proofErr w:type="spellStart"/>
            <w:r w:rsidRPr="00021C33">
              <w:rPr>
                <w:rFonts w:ascii="Verdana" w:hAnsi="Verdana" w:cs="Arial"/>
                <w:bCs/>
              </w:rPr>
              <w:t>vamorolone</w:t>
            </w:r>
            <w:proofErr w:type="spellEnd"/>
            <w:r w:rsidRPr="00021C33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3330" w:type="dxa"/>
          </w:tcPr>
          <w:p w14:paraId="71C7D3DE" w14:textId="34520D31" w:rsidR="005A5771" w:rsidRDefault="00021C33" w:rsidP="003E5867">
            <w:pPr>
              <w:rPr>
                <w:rFonts w:ascii="Verdana" w:hAnsi="Verdana"/>
              </w:rPr>
            </w:pPr>
            <w:r w:rsidRPr="00A05704">
              <w:rPr>
                <w:rFonts w:ascii="Verdana" w:hAnsi="Verdana" w:cstheme="minorHAnsi"/>
                <w:iCs/>
              </w:rPr>
              <w:t>the treatment of Duchenne muscular dystrophy (DMD) in patients 2 years of age and older</w:t>
            </w:r>
          </w:p>
        </w:tc>
        <w:tc>
          <w:tcPr>
            <w:tcW w:w="3150" w:type="dxa"/>
          </w:tcPr>
          <w:p w14:paraId="02EE03D1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1A17E8A2" w14:textId="5E30B8F5" w:rsidR="005A5771" w:rsidRPr="00B727CC" w:rsidRDefault="00854C16" w:rsidP="00F11DC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021C33" w:rsidRPr="00B727CC">
              <w:rPr>
                <w:rFonts w:ascii="Verdana" w:hAnsi="Verdana"/>
              </w:rPr>
              <w:t xml:space="preserve">: </w:t>
            </w:r>
            <w:r w:rsidR="00021C33">
              <w:rPr>
                <w:rFonts w:ascii="Verdana" w:hAnsi="Verdana"/>
              </w:rPr>
              <w:t>Non-Formulary</w:t>
            </w:r>
            <w:r w:rsidR="00021C33" w:rsidRPr="00B727CC">
              <w:rPr>
                <w:rFonts w:ascii="Verdana" w:hAnsi="Verdana"/>
              </w:rPr>
              <w:t xml:space="preserve"> Exchange: </w:t>
            </w:r>
            <w:r w:rsidR="00021C33">
              <w:rPr>
                <w:rFonts w:ascii="Verdana" w:hAnsi="Verdana"/>
              </w:rPr>
              <w:t>Non-Formulary</w:t>
            </w:r>
          </w:p>
        </w:tc>
        <w:tc>
          <w:tcPr>
            <w:tcW w:w="1440" w:type="dxa"/>
          </w:tcPr>
          <w:p w14:paraId="2244416E" w14:textId="13238005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5A5771" w:rsidRPr="00852F8C" w14:paraId="4D100F37" w14:textId="77777777" w:rsidTr="00B727CC">
        <w:tc>
          <w:tcPr>
            <w:tcW w:w="2970" w:type="dxa"/>
          </w:tcPr>
          <w:p w14:paraId="1B0CC099" w14:textId="54C4A020" w:rsidR="005A5771" w:rsidRPr="00021C33" w:rsidRDefault="00021C33" w:rsidP="00E8257D">
            <w:pPr>
              <w:pStyle w:val="Standard1"/>
              <w:spacing w:before="0" w:after="0"/>
              <w:rPr>
                <w:rFonts w:ascii="Verdana" w:eastAsiaTheme="minorHAnsi" w:hAnsi="Verdana" w:cs="Arial"/>
                <w:b/>
                <w:sz w:val="22"/>
                <w:szCs w:val="22"/>
              </w:rPr>
            </w:pPr>
            <w:proofErr w:type="spellStart"/>
            <w:r w:rsidRPr="00021C33">
              <w:rPr>
                <w:rFonts w:ascii="Verdana" w:eastAsiaTheme="minorHAnsi" w:hAnsi="Verdana" w:cs="Arial"/>
                <w:b/>
                <w:sz w:val="22"/>
                <w:szCs w:val="22"/>
              </w:rPr>
              <w:t>Ohtuvayre</w:t>
            </w:r>
            <w:proofErr w:type="spellEnd"/>
            <w:r w:rsidRPr="00021C33">
              <w:rPr>
                <w:rFonts w:ascii="Verdana" w:eastAsiaTheme="minorHAnsi" w:hAnsi="Verdana" w:cs="Arial"/>
                <w:b/>
                <w:sz w:val="22"/>
                <w:szCs w:val="22"/>
              </w:rPr>
              <w:t xml:space="preserve"> </w:t>
            </w:r>
            <w:r w:rsidRPr="00021C33">
              <w:rPr>
                <w:rFonts w:ascii="Verdana" w:eastAsiaTheme="minorHAnsi" w:hAnsi="Verdana" w:cs="Arial"/>
                <w:bCs/>
                <w:sz w:val="22"/>
                <w:szCs w:val="22"/>
              </w:rPr>
              <w:t>(</w:t>
            </w:r>
            <w:proofErr w:type="spellStart"/>
            <w:r w:rsidRPr="00021C33">
              <w:rPr>
                <w:rFonts w:ascii="Verdana" w:eastAsiaTheme="minorHAnsi" w:hAnsi="Verdana" w:cs="Arial"/>
                <w:bCs/>
                <w:sz w:val="22"/>
                <w:szCs w:val="22"/>
              </w:rPr>
              <w:t>ensifentrine</w:t>
            </w:r>
            <w:proofErr w:type="spellEnd"/>
            <w:r w:rsidRPr="00021C33">
              <w:rPr>
                <w:rFonts w:ascii="Verdana" w:eastAsiaTheme="minorHAnsi" w:hAnsi="Verdana" w:cs="Arial"/>
                <w:bCs/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14:paraId="53456F38" w14:textId="4CA5DA7C" w:rsidR="005A5771" w:rsidRDefault="00021C33" w:rsidP="003E5867">
            <w:pPr>
              <w:rPr>
                <w:rFonts w:ascii="Verdana" w:hAnsi="Verdana"/>
              </w:rPr>
            </w:pPr>
            <w:r w:rsidRPr="00A05704">
              <w:rPr>
                <w:rFonts w:ascii="Verdana" w:hAnsi="Verdana" w:cstheme="minorHAnsi"/>
                <w:iCs/>
              </w:rPr>
              <w:t>Maintenance treatment of chronic obstructive pulmonary disease (COPD) in adult patients</w:t>
            </w:r>
          </w:p>
        </w:tc>
        <w:tc>
          <w:tcPr>
            <w:tcW w:w="3150" w:type="dxa"/>
          </w:tcPr>
          <w:p w14:paraId="73393AEA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7596138C" w14:textId="0E251B6F" w:rsidR="00021C33" w:rsidRPr="00B727CC" w:rsidRDefault="00854C16" w:rsidP="00021C3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021C33" w:rsidRPr="00B727CC">
              <w:rPr>
                <w:rFonts w:ascii="Verdana" w:hAnsi="Verdana"/>
              </w:rPr>
              <w:t xml:space="preserve">: </w:t>
            </w:r>
            <w:r w:rsidR="00021C33">
              <w:rPr>
                <w:rFonts w:ascii="Verdana" w:hAnsi="Verdana"/>
              </w:rPr>
              <w:t>Non-Formulary</w:t>
            </w:r>
            <w:r w:rsidR="00021C33" w:rsidRPr="00B727CC">
              <w:rPr>
                <w:rFonts w:ascii="Verdana" w:hAnsi="Verdana"/>
              </w:rPr>
              <w:t xml:space="preserve"> Exchange: </w:t>
            </w:r>
            <w:r w:rsidR="00021C33">
              <w:rPr>
                <w:rFonts w:ascii="Verdana" w:hAnsi="Verdana"/>
              </w:rPr>
              <w:t>Non-Formulary</w:t>
            </w:r>
          </w:p>
          <w:p w14:paraId="29C895AE" w14:textId="77777777" w:rsidR="005A5771" w:rsidRPr="00B727CC" w:rsidRDefault="005A5771" w:rsidP="00F11DC6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0F2301FD" w14:textId="53F2EC19" w:rsidR="005A5771" w:rsidRPr="00B727CC" w:rsidRDefault="005A5771" w:rsidP="003E5867">
            <w:pPr>
              <w:rPr>
                <w:rFonts w:ascii="Verdana" w:eastAsia="Times New Roman" w:hAnsi="Verdana" w:cs="Arial"/>
              </w:rPr>
            </w:pPr>
            <w:r w:rsidRPr="00B727CC">
              <w:rPr>
                <w:rFonts w:ascii="Verdana" w:eastAsia="Times New Roman" w:hAnsi="Verdana" w:cs="Arial"/>
              </w:rPr>
              <w:t>NA</w:t>
            </w:r>
          </w:p>
        </w:tc>
      </w:tr>
      <w:tr w:rsidR="00F11DC6" w:rsidRPr="00852F8C" w14:paraId="50E5AF6C" w14:textId="77777777" w:rsidTr="00B727CC">
        <w:tc>
          <w:tcPr>
            <w:tcW w:w="2970" w:type="dxa"/>
          </w:tcPr>
          <w:p w14:paraId="7F4D2047" w14:textId="77777777" w:rsidR="00021C33" w:rsidRPr="00807B26" w:rsidRDefault="00021C33" w:rsidP="00021C33">
            <w:pPr>
              <w:pStyle w:val="Standard1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Velsipity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021C33">
              <w:rPr>
                <w:rFonts w:ascii="Verdana" w:hAnsi="Verdana" w:cs="Arial"/>
                <w:bCs/>
                <w:sz w:val="22"/>
                <w:szCs w:val="22"/>
              </w:rPr>
              <w:t>(</w:t>
            </w:r>
            <w:proofErr w:type="spellStart"/>
            <w:r w:rsidRPr="00021C33">
              <w:rPr>
                <w:rFonts w:ascii="Verdana" w:hAnsi="Verdana" w:cs="Arial"/>
                <w:bCs/>
                <w:sz w:val="22"/>
                <w:szCs w:val="22"/>
              </w:rPr>
              <w:t>etrasimod</w:t>
            </w:r>
            <w:proofErr w:type="spellEnd"/>
            <w:r w:rsidRPr="00021C33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  <w:p w14:paraId="0BC64517" w14:textId="77777777" w:rsidR="00F11DC6" w:rsidRPr="00B727CC" w:rsidRDefault="00F11DC6" w:rsidP="00E8257D">
            <w:pPr>
              <w:pStyle w:val="Standard1"/>
              <w:spacing w:before="0" w:after="0"/>
              <w:rPr>
                <w:rFonts w:ascii="Verdana" w:hAnsi="Verdana" w:cs="Arial"/>
                <w:bCs/>
              </w:rPr>
            </w:pPr>
          </w:p>
        </w:tc>
        <w:tc>
          <w:tcPr>
            <w:tcW w:w="3330" w:type="dxa"/>
          </w:tcPr>
          <w:p w14:paraId="50554C1C" w14:textId="4B388370" w:rsidR="00F11DC6" w:rsidRDefault="00021C33" w:rsidP="003E5867">
            <w:pPr>
              <w:rPr>
                <w:rFonts w:ascii="Verdana" w:hAnsi="Verdana"/>
              </w:rPr>
            </w:pPr>
            <w:r w:rsidRPr="00A05704">
              <w:rPr>
                <w:rFonts w:ascii="Verdana" w:hAnsi="Verdana" w:cstheme="minorHAnsi"/>
                <w:iCs/>
              </w:rPr>
              <w:t>the treatment of moderately to severely active UC in adults</w:t>
            </w:r>
          </w:p>
        </w:tc>
        <w:tc>
          <w:tcPr>
            <w:tcW w:w="3150" w:type="dxa"/>
          </w:tcPr>
          <w:p w14:paraId="18EDF30A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7355B652" w14:textId="755194D5" w:rsidR="00F11DC6" w:rsidRPr="00B727CC" w:rsidRDefault="00854C16" w:rsidP="00F11DC6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021C33" w:rsidRPr="00B727CC">
              <w:rPr>
                <w:rFonts w:ascii="Verdana" w:hAnsi="Verdana"/>
              </w:rPr>
              <w:t xml:space="preserve">: </w:t>
            </w:r>
            <w:r w:rsidR="00021C33">
              <w:rPr>
                <w:rFonts w:ascii="Verdana" w:hAnsi="Verdana"/>
              </w:rPr>
              <w:t>Non-</w:t>
            </w:r>
            <w:r w:rsidR="00021C33">
              <w:rPr>
                <w:rFonts w:ascii="Verdana" w:hAnsi="Verdana"/>
              </w:rPr>
              <w:t>Preferred</w:t>
            </w:r>
            <w:r w:rsidR="00021C33" w:rsidRPr="00B727CC">
              <w:rPr>
                <w:rFonts w:ascii="Verdana" w:hAnsi="Verdana"/>
              </w:rPr>
              <w:t xml:space="preserve"> Exchange: </w:t>
            </w:r>
            <w:r w:rsidR="00021C33">
              <w:rPr>
                <w:rFonts w:ascii="Verdana" w:hAnsi="Verdana"/>
              </w:rPr>
              <w:t>Non-Formulary</w:t>
            </w:r>
          </w:p>
        </w:tc>
        <w:tc>
          <w:tcPr>
            <w:tcW w:w="1440" w:type="dxa"/>
          </w:tcPr>
          <w:p w14:paraId="3A405410" w14:textId="5449E0C6" w:rsidR="00F11DC6" w:rsidRPr="00B727CC" w:rsidRDefault="00021C33" w:rsidP="003E5867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NA</w:t>
            </w:r>
          </w:p>
        </w:tc>
      </w:tr>
      <w:tr w:rsidR="00021C33" w:rsidRPr="00852F8C" w14:paraId="276F2D3E" w14:textId="77777777" w:rsidTr="00021C33">
        <w:trPr>
          <w:trHeight w:val="773"/>
        </w:trPr>
        <w:tc>
          <w:tcPr>
            <w:tcW w:w="2970" w:type="dxa"/>
          </w:tcPr>
          <w:p w14:paraId="225C8100" w14:textId="77777777" w:rsidR="00021C33" w:rsidRPr="00807B26" w:rsidRDefault="00021C33" w:rsidP="00021C33">
            <w:pPr>
              <w:pStyle w:val="Standard1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Omvoh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021C33">
              <w:rPr>
                <w:rFonts w:ascii="Verdana" w:hAnsi="Verdana" w:cs="Arial"/>
                <w:bCs/>
                <w:sz w:val="22"/>
                <w:szCs w:val="22"/>
              </w:rPr>
              <w:t>(</w:t>
            </w:r>
            <w:proofErr w:type="spellStart"/>
            <w:r w:rsidRPr="00021C33">
              <w:rPr>
                <w:rFonts w:ascii="Verdana" w:hAnsi="Verdana" w:cs="Arial"/>
                <w:bCs/>
                <w:sz w:val="22"/>
                <w:szCs w:val="22"/>
              </w:rPr>
              <w:t>mirikizumab-mrkz</w:t>
            </w:r>
            <w:proofErr w:type="spellEnd"/>
            <w:r w:rsidRPr="00021C33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  <w:p w14:paraId="10378A86" w14:textId="77777777" w:rsidR="00021C33" w:rsidRDefault="00021C33" w:rsidP="00021C33">
            <w:pPr>
              <w:pStyle w:val="Standard1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0C9472A7" w14:textId="77777777" w:rsidR="00021C33" w:rsidRPr="00807B26" w:rsidRDefault="00021C33" w:rsidP="00021C33">
            <w:pPr>
              <w:rPr>
                <w:rFonts w:ascii="Verdana" w:hAnsi="Verdana"/>
              </w:rPr>
            </w:pPr>
            <w:r w:rsidRPr="00A05704">
              <w:rPr>
                <w:rFonts w:ascii="Verdana" w:hAnsi="Verdana" w:cstheme="minorHAnsi"/>
                <w:iCs/>
              </w:rPr>
              <w:t>the treatment of adults with moderately to severely active ulcerative colitis (UC)</w:t>
            </w:r>
          </w:p>
          <w:p w14:paraId="3DCA0162" w14:textId="77777777" w:rsidR="00021C33" w:rsidRPr="00021C33" w:rsidRDefault="00021C33" w:rsidP="003E5867">
            <w:pPr>
              <w:rPr>
                <w:rFonts w:ascii="Verdana" w:hAnsi="Verdana" w:cstheme="minorHAnsi"/>
                <w:b/>
                <w:bCs/>
                <w:iCs/>
              </w:rPr>
            </w:pPr>
          </w:p>
        </w:tc>
        <w:tc>
          <w:tcPr>
            <w:tcW w:w="3150" w:type="dxa"/>
          </w:tcPr>
          <w:p w14:paraId="3D70EF70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09A3EA1E" w14:textId="645DAA47" w:rsidR="00021C33" w:rsidRPr="00B727CC" w:rsidRDefault="00854C16" w:rsidP="00021C3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021C33" w:rsidRPr="00B727CC">
              <w:rPr>
                <w:rFonts w:ascii="Verdana" w:hAnsi="Verdana"/>
              </w:rPr>
              <w:t xml:space="preserve">: </w:t>
            </w:r>
            <w:r w:rsidR="00021C33">
              <w:rPr>
                <w:rFonts w:ascii="Verdana" w:hAnsi="Verdana"/>
              </w:rPr>
              <w:t>Non-Preferred</w:t>
            </w:r>
            <w:r w:rsidR="00021C33" w:rsidRPr="00B727CC">
              <w:rPr>
                <w:rFonts w:ascii="Verdana" w:hAnsi="Verdana"/>
              </w:rPr>
              <w:t xml:space="preserve"> Exchange: </w:t>
            </w:r>
            <w:r w:rsidR="00021C33">
              <w:rPr>
                <w:rFonts w:ascii="Verdana" w:hAnsi="Verdana"/>
              </w:rPr>
              <w:t>Non-Formulary</w:t>
            </w:r>
          </w:p>
        </w:tc>
        <w:tc>
          <w:tcPr>
            <w:tcW w:w="1440" w:type="dxa"/>
          </w:tcPr>
          <w:p w14:paraId="70592862" w14:textId="26ADC266" w:rsidR="00021C33" w:rsidRPr="00B727CC" w:rsidRDefault="00021C33" w:rsidP="003E5867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NA</w:t>
            </w:r>
          </w:p>
        </w:tc>
      </w:tr>
      <w:tr w:rsidR="00021C33" w:rsidRPr="00852F8C" w14:paraId="3CFA1A02" w14:textId="77777777" w:rsidTr="00B727CC">
        <w:tc>
          <w:tcPr>
            <w:tcW w:w="2970" w:type="dxa"/>
          </w:tcPr>
          <w:p w14:paraId="4E06C562" w14:textId="77777777" w:rsidR="00021C33" w:rsidRPr="00807B26" w:rsidRDefault="00021C33" w:rsidP="00021C33">
            <w:pPr>
              <w:pStyle w:val="Standard1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Voranigo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vorasidenib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) </w:t>
            </w:r>
            <w:r w:rsidRPr="00456729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PROTECTED CLASS DRUG</w:t>
            </w:r>
          </w:p>
          <w:p w14:paraId="6B49104A" w14:textId="77777777" w:rsidR="00021C33" w:rsidRDefault="00021C33" w:rsidP="00021C33">
            <w:pPr>
              <w:pStyle w:val="Standard1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6D02E788" w14:textId="05A9DC77" w:rsidR="00021C33" w:rsidRPr="00A05704" w:rsidRDefault="00021C33" w:rsidP="00021C33">
            <w:pPr>
              <w:rPr>
                <w:rFonts w:ascii="Verdana" w:hAnsi="Verdana" w:cstheme="minorHAnsi"/>
                <w:iCs/>
              </w:rPr>
            </w:pPr>
            <w:r w:rsidRPr="00A05704">
              <w:rPr>
                <w:rFonts w:ascii="Verdana" w:hAnsi="Verdana" w:cstheme="minorHAnsi"/>
                <w:iCs/>
              </w:rPr>
              <w:t xml:space="preserve">Treatment of adult and pediatric patients age ≥ 12 years with grade 2 astrocytoma or oligodendroglioma with a susceptible isocitrate dehydrogenase (IDH)-1 and -2 (IDH1 and IDH2) mutation following surgery including biopsy, sub-total </w:t>
            </w:r>
            <w:r w:rsidRPr="00A05704">
              <w:rPr>
                <w:rFonts w:ascii="Verdana" w:hAnsi="Verdana" w:cstheme="minorHAnsi"/>
                <w:iCs/>
              </w:rPr>
              <w:lastRenderedPageBreak/>
              <w:t>resection, or gross total resection.</w:t>
            </w:r>
          </w:p>
        </w:tc>
        <w:tc>
          <w:tcPr>
            <w:tcW w:w="3150" w:type="dxa"/>
          </w:tcPr>
          <w:p w14:paraId="2C68750A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lastRenderedPageBreak/>
              <w:t>Medicare: Formulary</w:t>
            </w:r>
            <w:r>
              <w:rPr>
                <w:rFonts w:ascii="Verdana" w:hAnsi="Verdana"/>
              </w:rPr>
              <w:t xml:space="preserve"> w/PA</w:t>
            </w:r>
          </w:p>
          <w:p w14:paraId="3E5EB9BB" w14:textId="3A75CDF2" w:rsidR="00021C33" w:rsidRPr="00B727CC" w:rsidRDefault="00854C16" w:rsidP="00021C3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021C33" w:rsidRPr="00B727CC">
              <w:rPr>
                <w:rFonts w:ascii="Verdana" w:hAnsi="Verdana"/>
              </w:rPr>
              <w:t>: Formulary</w:t>
            </w:r>
            <w:r w:rsidR="00021C33">
              <w:rPr>
                <w:rFonts w:ascii="Verdana" w:hAnsi="Verdana"/>
              </w:rPr>
              <w:t xml:space="preserve"> w/PA</w:t>
            </w:r>
          </w:p>
          <w:p w14:paraId="5307FE25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>Exchange: Formulary</w:t>
            </w:r>
            <w:r>
              <w:rPr>
                <w:rFonts w:ascii="Verdana" w:hAnsi="Verdana"/>
              </w:rPr>
              <w:t xml:space="preserve"> w/PA</w:t>
            </w:r>
          </w:p>
          <w:p w14:paraId="237947F7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1440" w:type="dxa"/>
          </w:tcPr>
          <w:p w14:paraId="7ECA966F" w14:textId="452C1F5B" w:rsidR="00021C33" w:rsidRDefault="00021C33" w:rsidP="003E5867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NA</w:t>
            </w:r>
          </w:p>
        </w:tc>
      </w:tr>
      <w:tr w:rsidR="00021C33" w:rsidRPr="00852F8C" w14:paraId="788B9DF3" w14:textId="77777777" w:rsidTr="00B727CC">
        <w:tc>
          <w:tcPr>
            <w:tcW w:w="2970" w:type="dxa"/>
          </w:tcPr>
          <w:p w14:paraId="29AFE877" w14:textId="77777777" w:rsidR="00021C33" w:rsidRPr="00807B26" w:rsidRDefault="00021C33" w:rsidP="00021C33">
            <w:pPr>
              <w:pStyle w:val="Standard1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</w:rPr>
              <w:t>Yorvipath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021C33">
              <w:rPr>
                <w:rFonts w:ascii="Verdana" w:hAnsi="Verdana" w:cs="Arial"/>
                <w:bCs/>
                <w:sz w:val="22"/>
                <w:szCs w:val="22"/>
              </w:rPr>
              <w:t>(</w:t>
            </w:r>
            <w:proofErr w:type="spellStart"/>
            <w:r w:rsidRPr="00021C33">
              <w:rPr>
                <w:rFonts w:ascii="Verdana" w:hAnsi="Verdana" w:cs="Arial"/>
                <w:bCs/>
                <w:sz w:val="22"/>
                <w:szCs w:val="22"/>
              </w:rPr>
              <w:t>palopegteriparatide</w:t>
            </w:r>
            <w:proofErr w:type="spellEnd"/>
            <w:r w:rsidRPr="00021C33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  <w:p w14:paraId="3B25D43E" w14:textId="77777777" w:rsidR="00021C33" w:rsidRDefault="00021C33" w:rsidP="00021C33">
            <w:pPr>
              <w:pStyle w:val="Standard1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14:paraId="354C10E9" w14:textId="2FCC24AE" w:rsidR="00021C33" w:rsidRPr="00A05704" w:rsidRDefault="00021C33" w:rsidP="00021C33">
            <w:pPr>
              <w:rPr>
                <w:rFonts w:ascii="Verdana" w:hAnsi="Verdana" w:cstheme="minorHAnsi"/>
                <w:iCs/>
              </w:rPr>
            </w:pPr>
            <w:r w:rsidRPr="00A05704">
              <w:rPr>
                <w:rFonts w:ascii="Verdana" w:hAnsi="Verdana" w:cstheme="minorHAnsi"/>
                <w:iCs/>
              </w:rPr>
              <w:t>Treatment of hypoparathyroidism (</w:t>
            </w:r>
            <w:proofErr w:type="spellStart"/>
            <w:r w:rsidRPr="00A05704">
              <w:rPr>
                <w:rFonts w:ascii="Verdana" w:hAnsi="Verdana" w:cstheme="minorHAnsi"/>
                <w:iCs/>
              </w:rPr>
              <w:t>HypoPT</w:t>
            </w:r>
            <w:proofErr w:type="spellEnd"/>
            <w:r w:rsidRPr="00A05704">
              <w:rPr>
                <w:rFonts w:ascii="Verdana" w:hAnsi="Verdana" w:cstheme="minorHAnsi"/>
                <w:iCs/>
              </w:rPr>
              <w:t>) in adults</w:t>
            </w:r>
          </w:p>
        </w:tc>
        <w:tc>
          <w:tcPr>
            <w:tcW w:w="3150" w:type="dxa"/>
          </w:tcPr>
          <w:p w14:paraId="03FF9E9D" w14:textId="77777777" w:rsidR="00021C33" w:rsidRPr="00B727CC" w:rsidRDefault="00021C33" w:rsidP="00021C33">
            <w:pPr>
              <w:pStyle w:val="NoSpacing"/>
              <w:rPr>
                <w:rFonts w:ascii="Verdana" w:hAnsi="Verdana"/>
              </w:rPr>
            </w:pPr>
            <w:r w:rsidRPr="00B727CC">
              <w:rPr>
                <w:rFonts w:ascii="Verdana" w:hAnsi="Verdana"/>
              </w:rPr>
              <w:t xml:space="preserve">Medicare: </w:t>
            </w:r>
            <w:r>
              <w:rPr>
                <w:rFonts w:ascii="Verdana" w:hAnsi="Verdana"/>
              </w:rPr>
              <w:t>Non-Formulary</w:t>
            </w:r>
          </w:p>
          <w:p w14:paraId="423191F0" w14:textId="167CCEEE" w:rsidR="00021C33" w:rsidRPr="00B727CC" w:rsidRDefault="00854C16" w:rsidP="00021C33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021C33" w:rsidRPr="00B727CC">
              <w:rPr>
                <w:rFonts w:ascii="Verdana" w:hAnsi="Verdana"/>
              </w:rPr>
              <w:t xml:space="preserve">: </w:t>
            </w:r>
            <w:r w:rsidR="00021C33">
              <w:rPr>
                <w:rFonts w:ascii="Verdana" w:hAnsi="Verdana"/>
              </w:rPr>
              <w:t>Non-Formulary</w:t>
            </w:r>
            <w:r w:rsidR="00021C33" w:rsidRPr="00B727CC">
              <w:rPr>
                <w:rFonts w:ascii="Verdana" w:hAnsi="Verdana"/>
              </w:rPr>
              <w:t xml:space="preserve"> Exchange: </w:t>
            </w:r>
            <w:r w:rsidR="00021C33">
              <w:rPr>
                <w:rFonts w:ascii="Verdana" w:hAnsi="Verdana"/>
              </w:rPr>
              <w:t>Non-Formulary</w:t>
            </w:r>
          </w:p>
        </w:tc>
        <w:tc>
          <w:tcPr>
            <w:tcW w:w="1440" w:type="dxa"/>
          </w:tcPr>
          <w:p w14:paraId="02B86F1F" w14:textId="1182D252" w:rsidR="00021C33" w:rsidRDefault="00021C33" w:rsidP="003E5867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NA</w:t>
            </w:r>
          </w:p>
        </w:tc>
      </w:tr>
    </w:tbl>
    <w:p w14:paraId="30725D2E" w14:textId="2E6D7891" w:rsidR="00C36463" w:rsidRPr="00852F8C" w:rsidRDefault="00C36463">
      <w:pPr>
        <w:spacing w:line="200" w:lineRule="exact"/>
        <w:rPr>
          <w:rFonts w:ascii="Verdana" w:hAnsi="Verdana"/>
          <w:sz w:val="20"/>
          <w:szCs w:val="20"/>
        </w:rPr>
      </w:pPr>
    </w:p>
    <w:p w14:paraId="38B717C3" w14:textId="77777777" w:rsidR="00C36463" w:rsidRPr="00B727CC" w:rsidRDefault="00C36463">
      <w:pPr>
        <w:spacing w:line="200" w:lineRule="exact"/>
        <w:rPr>
          <w:rFonts w:ascii="Verdana" w:hAnsi="Verdana"/>
        </w:rPr>
      </w:pPr>
    </w:p>
    <w:p w14:paraId="571B2695" w14:textId="72646FCE" w:rsidR="001B05E8" w:rsidRPr="00B727CC" w:rsidRDefault="000A6E31" w:rsidP="00015A48">
      <w:pPr>
        <w:spacing w:line="200" w:lineRule="exact"/>
        <w:jc w:val="both"/>
        <w:rPr>
          <w:rFonts w:ascii="Verdana" w:eastAsia="Times New Roman" w:hAnsi="Verdana" w:cs="Arial"/>
          <w:b/>
        </w:rPr>
      </w:pPr>
      <w:r w:rsidRPr="00B727CC">
        <w:rPr>
          <w:rFonts w:ascii="Verdana" w:eastAsia="Times New Roman" w:hAnsi="Verdana" w:cs="Arial"/>
          <w:b/>
        </w:rPr>
        <w:t xml:space="preserve">Formulary changes for New Generics, New Indications and Miscellaneous Previously Reviewed drugs are effective </w:t>
      </w:r>
      <w:r w:rsidR="00021C33">
        <w:rPr>
          <w:rFonts w:ascii="Verdana" w:eastAsia="Times New Roman" w:hAnsi="Verdana" w:cs="Arial"/>
          <w:b/>
        </w:rPr>
        <w:t>4</w:t>
      </w:r>
      <w:r w:rsidR="00BE479A" w:rsidRPr="00B727CC">
        <w:rPr>
          <w:rFonts w:ascii="Verdana" w:eastAsia="Times New Roman" w:hAnsi="Verdana" w:cs="Arial"/>
          <w:b/>
        </w:rPr>
        <w:t>/1</w:t>
      </w:r>
      <w:r w:rsidRPr="00B727CC">
        <w:rPr>
          <w:rFonts w:ascii="Verdana" w:eastAsia="Times New Roman" w:hAnsi="Verdana" w:cs="Arial"/>
          <w:b/>
        </w:rPr>
        <w:t>/202</w:t>
      </w:r>
      <w:r w:rsidR="00F6467A">
        <w:rPr>
          <w:rFonts w:ascii="Verdana" w:eastAsia="Times New Roman" w:hAnsi="Verdana" w:cs="Arial"/>
          <w:b/>
        </w:rPr>
        <w:t>5</w:t>
      </w:r>
      <w:r w:rsidRPr="00B727CC">
        <w:rPr>
          <w:rFonts w:ascii="Verdana" w:eastAsia="Times New Roman" w:hAnsi="Verdana" w:cs="Arial"/>
          <w:b/>
        </w:rPr>
        <w:t>.</w:t>
      </w:r>
    </w:p>
    <w:p w14:paraId="4909B206" w14:textId="77777777" w:rsidR="001B05E8" w:rsidRPr="00852F8C" w:rsidRDefault="001B05E8" w:rsidP="006B16C1">
      <w:pPr>
        <w:rPr>
          <w:rFonts w:ascii="Verdana" w:eastAsia="Times New Roman" w:hAnsi="Verdana" w:cs="Arial"/>
          <w:b/>
          <w:sz w:val="20"/>
          <w:szCs w:val="20"/>
          <w:u w:val="single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153FC2" w:rsidRPr="00852F8C" w14:paraId="2C07B094" w14:textId="77777777" w:rsidTr="00D90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71E652E9" w14:textId="77777777" w:rsidR="004C5F89" w:rsidRPr="00852F8C" w:rsidRDefault="00153FC2" w:rsidP="005247AA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bookmarkStart w:id="0" w:name="_Hlk98851985"/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Indications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3029"/>
        <w:gridCol w:w="3884"/>
        <w:gridCol w:w="4004"/>
      </w:tblGrid>
      <w:tr w:rsidR="004F2F90" w:rsidRPr="00852F8C" w14:paraId="4B7C4753" w14:textId="77777777" w:rsidTr="00746B73">
        <w:trPr>
          <w:trHeight w:val="566"/>
        </w:trPr>
        <w:tc>
          <w:tcPr>
            <w:tcW w:w="3029" w:type="dxa"/>
          </w:tcPr>
          <w:p w14:paraId="48E65DDF" w14:textId="5B200CEC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3884" w:type="dxa"/>
          </w:tcPr>
          <w:p w14:paraId="48AC1C2A" w14:textId="4EC1C9F5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Current formulary status</w:t>
            </w:r>
          </w:p>
        </w:tc>
        <w:tc>
          <w:tcPr>
            <w:tcW w:w="4004" w:type="dxa"/>
          </w:tcPr>
          <w:p w14:paraId="0DC14B8E" w14:textId="39AC6804" w:rsidR="004F2F90" w:rsidRPr="00852F8C" w:rsidRDefault="004F2F90" w:rsidP="004F2F90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bookmarkEnd w:id="0"/>
      <w:tr w:rsidR="00075402" w:rsidRPr="00852F8C" w14:paraId="1B56CDD1" w14:textId="77777777" w:rsidTr="00746B73">
        <w:tc>
          <w:tcPr>
            <w:tcW w:w="3029" w:type="dxa"/>
            <w:shd w:val="clear" w:color="auto" w:fill="auto"/>
          </w:tcPr>
          <w:p w14:paraId="79C91297" w14:textId="4CFA1D8D" w:rsidR="00075402" w:rsidRPr="00021C33" w:rsidRDefault="00021C33" w:rsidP="00075402">
            <w:pPr>
              <w:rPr>
                <w:rFonts w:ascii="Verdana" w:hAnsi="Verdana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</w:rPr>
              <w:t>Tagrisso</w:t>
            </w:r>
            <w:proofErr w:type="spellEnd"/>
            <w:r w:rsidRPr="0098517D">
              <w:rPr>
                <w:rFonts w:ascii="Verdana" w:hAnsi="Verdana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</w:rPr>
              <w:t>osimertinib</w:t>
            </w:r>
            <w:proofErr w:type="spellEnd"/>
            <w:r w:rsidRPr="0098517D">
              <w:rPr>
                <w:rFonts w:ascii="Verdana" w:hAnsi="Verdana"/>
              </w:rPr>
              <w:t>) 40 mg &amp; 80 mg tablets received a new indication for adults with locally advanced, unresectable (stage III) NSCLC whose disease has not progressed during or following platinum-based chemoradiation and whose tumors have EGFR exon 19 deletions or exon 21 L858R mutations.</w:t>
            </w:r>
          </w:p>
        </w:tc>
        <w:tc>
          <w:tcPr>
            <w:tcW w:w="3884" w:type="dxa"/>
            <w:shd w:val="clear" w:color="auto" w:fill="auto"/>
          </w:tcPr>
          <w:p w14:paraId="7E16FBC7" w14:textId="08BDCD33" w:rsidR="00075402" w:rsidRPr="00AF03AD" w:rsidRDefault="00746B73" w:rsidP="000754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  <w:p w14:paraId="31DB2A16" w14:textId="1E15B213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4004" w:type="dxa"/>
            <w:shd w:val="clear" w:color="auto" w:fill="auto"/>
          </w:tcPr>
          <w:p w14:paraId="687708E5" w14:textId="6C33D19C" w:rsidR="00075402" w:rsidRPr="00AF03AD" w:rsidRDefault="00075402" w:rsidP="00075402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FEA51F4" w14:textId="3503BEF9" w:rsidR="00075402" w:rsidRPr="00AF03AD" w:rsidRDefault="00075402" w:rsidP="00075402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40C03084" w14:textId="77777777" w:rsidTr="00746B73">
        <w:trPr>
          <w:trHeight w:val="503"/>
        </w:trPr>
        <w:tc>
          <w:tcPr>
            <w:tcW w:w="3029" w:type="dxa"/>
            <w:shd w:val="clear" w:color="auto" w:fill="auto"/>
          </w:tcPr>
          <w:p w14:paraId="6C228C09" w14:textId="02C4676B" w:rsidR="00075402" w:rsidRPr="0000785E" w:rsidRDefault="00746B73" w:rsidP="00746B73">
            <w:pPr>
              <w:rPr>
                <w:rFonts w:ascii="Verdana" w:hAnsi="Verdana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</w:rPr>
              <w:t>Scemblix</w:t>
            </w:r>
            <w:proofErr w:type="spellEnd"/>
            <w:r w:rsidRPr="0098517D">
              <w:rPr>
                <w:rFonts w:ascii="Verdana" w:hAnsi="Verdana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</w:rPr>
              <w:t>asciminib</w:t>
            </w:r>
            <w:proofErr w:type="spellEnd"/>
            <w:r w:rsidRPr="0098517D">
              <w:rPr>
                <w:rFonts w:ascii="Verdana" w:hAnsi="Verdana"/>
              </w:rPr>
              <w:t xml:space="preserve">) 20, 40, &amp; 100 mg tablets </w:t>
            </w:r>
            <w:proofErr w:type="gramStart"/>
            <w:r w:rsidRPr="0098517D">
              <w:rPr>
                <w:rFonts w:ascii="Verdana" w:hAnsi="Verdana"/>
              </w:rPr>
              <w:t>was</w:t>
            </w:r>
            <w:proofErr w:type="gramEnd"/>
            <w:r w:rsidRPr="0098517D">
              <w:rPr>
                <w:rFonts w:ascii="Verdana" w:hAnsi="Verdana"/>
              </w:rPr>
              <w:t xml:space="preserve"> recently granted an accelerated approval for the first-line treatment of chronic phase chronic myeloid leukemia, previously only approved for 3rd-line use or for patients harboring the T315I mutation. </w:t>
            </w:r>
          </w:p>
        </w:tc>
        <w:tc>
          <w:tcPr>
            <w:tcW w:w="3884" w:type="dxa"/>
            <w:shd w:val="clear" w:color="auto" w:fill="auto"/>
          </w:tcPr>
          <w:p w14:paraId="04632F8E" w14:textId="3CB55E63" w:rsidR="00075402" w:rsidRPr="00AF03AD" w:rsidRDefault="00746B73" w:rsidP="00746B73">
            <w:pPr>
              <w:rPr>
                <w:rFonts w:ascii="Verdana" w:hAnsi="Verdana"/>
              </w:rPr>
            </w:pPr>
            <w:r w:rsidRPr="00974FC7">
              <w:rPr>
                <w:rFonts w:ascii="Verdana" w:hAnsi="Verdana"/>
              </w:rPr>
              <w:t xml:space="preserve">F: </w:t>
            </w:r>
            <w:r w:rsidRPr="00CF20F6">
              <w:rPr>
                <w:rFonts w:ascii="Verdana" w:hAnsi="Verdana"/>
              </w:rPr>
              <w:t>all lines of business</w:t>
            </w:r>
          </w:p>
        </w:tc>
        <w:tc>
          <w:tcPr>
            <w:tcW w:w="4004" w:type="dxa"/>
            <w:shd w:val="clear" w:color="auto" w:fill="auto"/>
          </w:tcPr>
          <w:p w14:paraId="20746239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C241ED8" w14:textId="19003A50" w:rsidR="00075402" w:rsidRPr="00AF03AD" w:rsidRDefault="00075402" w:rsidP="00746B73">
            <w:pPr>
              <w:rPr>
                <w:rFonts w:ascii="Verdana" w:hAnsi="Verdana"/>
              </w:rPr>
            </w:pPr>
          </w:p>
        </w:tc>
      </w:tr>
      <w:tr w:rsidR="00075402" w:rsidRPr="00852F8C" w14:paraId="7403E543" w14:textId="77777777" w:rsidTr="00746B73">
        <w:tc>
          <w:tcPr>
            <w:tcW w:w="3029" w:type="dxa"/>
            <w:shd w:val="clear" w:color="auto" w:fill="auto"/>
          </w:tcPr>
          <w:p w14:paraId="06B072A2" w14:textId="77777777" w:rsidR="00746B73" w:rsidRPr="0098517D" w:rsidRDefault="00746B73" w:rsidP="00746B73">
            <w:pPr>
              <w:rPr>
                <w:rFonts w:ascii="Verdana" w:hAnsi="Verdana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</w:rPr>
              <w:t>Bimzelx</w:t>
            </w:r>
            <w:proofErr w:type="spellEnd"/>
            <w:r w:rsidRPr="0098517D">
              <w:rPr>
                <w:rFonts w:ascii="Verdana" w:hAnsi="Verdana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</w:rPr>
              <w:t>bimekizumab</w:t>
            </w:r>
            <w:proofErr w:type="spellEnd"/>
            <w:r w:rsidRPr="0098517D">
              <w:rPr>
                <w:rFonts w:ascii="Verdana" w:hAnsi="Verdana"/>
              </w:rPr>
              <w:t xml:space="preserve">) 160 mg/mL SQ injection was recently granted an approval for the treatment of adults with moderate to severe </w:t>
            </w:r>
            <w:r w:rsidRPr="0098517D">
              <w:rPr>
                <w:rFonts w:ascii="Verdana" w:hAnsi="Verdana"/>
              </w:rPr>
              <w:lastRenderedPageBreak/>
              <w:t>hidradenitis suppurativa (HS).</w:t>
            </w:r>
          </w:p>
          <w:p w14:paraId="28120F19" w14:textId="7475C337" w:rsidR="00075402" w:rsidRPr="0000785E" w:rsidRDefault="00075402" w:rsidP="00F6467A">
            <w:pPr>
              <w:rPr>
                <w:rFonts w:ascii="Verdana" w:hAnsi="Verdana"/>
              </w:rPr>
            </w:pPr>
          </w:p>
        </w:tc>
        <w:tc>
          <w:tcPr>
            <w:tcW w:w="3884" w:type="dxa"/>
            <w:shd w:val="clear" w:color="auto" w:fill="auto"/>
          </w:tcPr>
          <w:p w14:paraId="49A40D54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NF: Medicare, PPO, IFP</w:t>
            </w:r>
          </w:p>
          <w:p w14:paraId="35A01C65" w14:textId="26FD975D" w:rsidR="00746B73" w:rsidRPr="00CF20F6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57D9EF13" w14:textId="77A907C7" w:rsidR="00075402" w:rsidRPr="00AF03AD" w:rsidRDefault="00075402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2BE8DBC8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EB58032" w14:textId="1F03B6C9" w:rsidR="00075402" w:rsidRPr="00AF03AD" w:rsidRDefault="00075402" w:rsidP="00746B73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F7B60B7" w14:textId="77777777" w:rsidTr="00746B73">
        <w:tc>
          <w:tcPr>
            <w:tcW w:w="3029" w:type="dxa"/>
            <w:shd w:val="clear" w:color="auto" w:fill="auto"/>
          </w:tcPr>
          <w:p w14:paraId="26FBF648" w14:textId="77777777" w:rsidR="00746B73" w:rsidRPr="00CF6F88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Vtama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tapinarof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) 1% cream received approval for the treatment of atopic dermatitis in adults and pediatric patients ≥ 2 years of age. </w:t>
            </w:r>
          </w:p>
          <w:p w14:paraId="547F3925" w14:textId="64CEFCD4" w:rsidR="00075402" w:rsidRPr="0000785E" w:rsidRDefault="00075402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3FEAF1CE" w14:textId="77777777" w:rsidR="00746B73" w:rsidRPr="00CF20F6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2FC01962" w14:textId="0F11B9BE" w:rsidR="00075402" w:rsidRPr="00AF03AD" w:rsidRDefault="00075402" w:rsidP="00746B73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4004" w:type="dxa"/>
            <w:shd w:val="clear" w:color="auto" w:fill="auto"/>
          </w:tcPr>
          <w:p w14:paraId="1F444E8A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79A8F60" w14:textId="06EB5F60" w:rsidR="00075402" w:rsidRPr="00AF03AD" w:rsidRDefault="00075402" w:rsidP="00746B73">
            <w:pPr>
              <w:rPr>
                <w:rFonts w:ascii="Verdana" w:eastAsia="Times New Roman" w:hAnsi="Verdana" w:cs="Arial"/>
              </w:rPr>
            </w:pPr>
          </w:p>
        </w:tc>
      </w:tr>
      <w:tr w:rsidR="00075402" w:rsidRPr="00852F8C" w14:paraId="72856C60" w14:textId="77777777" w:rsidTr="00746B73">
        <w:tc>
          <w:tcPr>
            <w:tcW w:w="3029" w:type="dxa"/>
            <w:shd w:val="clear" w:color="auto" w:fill="auto"/>
          </w:tcPr>
          <w:p w14:paraId="1021E4E5" w14:textId="77777777" w:rsidR="00746B73" w:rsidRPr="00CF6F88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Braftovi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encorafenib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>) 75 mg capsule for use in combination with cetuximab and mFOLFOX6 therapy for patients with mCRC and a BRAF V600E mutation.</w:t>
            </w:r>
          </w:p>
          <w:p w14:paraId="38BEAD85" w14:textId="73C647ED" w:rsidR="00075402" w:rsidRPr="0000785E" w:rsidRDefault="00075402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65F67F2E" w14:textId="77777777" w:rsidR="00746B73" w:rsidRPr="00CF20F6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  <w:p w14:paraId="0613AA00" w14:textId="77777777" w:rsidR="00075402" w:rsidRPr="00AF03AD" w:rsidRDefault="00075402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1A85D788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BAA3641" w14:textId="62ECB6A1" w:rsidR="00746B73" w:rsidRPr="00AF03AD" w:rsidRDefault="00746B73" w:rsidP="00746B73">
            <w:pPr>
              <w:rPr>
                <w:rFonts w:ascii="Verdana" w:hAnsi="Verdana"/>
              </w:rPr>
            </w:pPr>
          </w:p>
          <w:p w14:paraId="3B6D7DF1" w14:textId="77777777" w:rsidR="00075402" w:rsidRPr="00AF03AD" w:rsidRDefault="00075402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6AFA6694" w14:textId="77777777" w:rsidTr="00746B73">
        <w:tc>
          <w:tcPr>
            <w:tcW w:w="3029" w:type="dxa"/>
            <w:shd w:val="clear" w:color="auto" w:fill="auto"/>
          </w:tcPr>
          <w:p w14:paraId="2FF39CA0" w14:textId="77777777" w:rsidR="00746B73" w:rsidRPr="00CF6F88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Imcivree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setmelanotide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>) 10 mg/mL SC injection for syndromic or monogenic obesity due to Bardet-Biedl syndrome (BBS) or POMC, PCSK1, LEPR deficiency. Age expansion – reduced from 6 years to 2 years of age</w:t>
            </w:r>
          </w:p>
          <w:p w14:paraId="1A56E124" w14:textId="18C2330E" w:rsidR="00166739" w:rsidRPr="0000785E" w:rsidRDefault="00166739" w:rsidP="00F6467A">
            <w:pPr>
              <w:rPr>
                <w:rFonts w:ascii="Verdana" w:hAnsi="Verdana"/>
              </w:rPr>
            </w:pPr>
          </w:p>
        </w:tc>
        <w:tc>
          <w:tcPr>
            <w:tcW w:w="3884" w:type="dxa"/>
            <w:shd w:val="clear" w:color="auto" w:fill="auto"/>
          </w:tcPr>
          <w:p w14:paraId="71B46A7A" w14:textId="77777777" w:rsidR="00746B73" w:rsidRPr="00CF20F6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CF20F6">
              <w:rPr>
                <w:rFonts w:ascii="Verdana" w:hAnsi="Verdana"/>
              </w:rPr>
              <w:t>F: all lines of business</w:t>
            </w:r>
          </w:p>
          <w:p w14:paraId="1207E7EA" w14:textId="77777777" w:rsidR="00166739" w:rsidRPr="007E4E57" w:rsidRDefault="00166739" w:rsidP="00746B73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4004" w:type="dxa"/>
            <w:shd w:val="clear" w:color="auto" w:fill="auto"/>
          </w:tcPr>
          <w:p w14:paraId="6BF017C7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5458BA92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17CA87CD" w14:textId="77777777" w:rsidTr="00746B73">
        <w:tc>
          <w:tcPr>
            <w:tcW w:w="3029" w:type="dxa"/>
            <w:shd w:val="clear" w:color="auto" w:fill="auto"/>
          </w:tcPr>
          <w:p w14:paraId="0B8F9200" w14:textId="77777777" w:rsidR="00746B73" w:rsidRPr="00CB12F0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Zepbound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tirzepatide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>) SC injections for moderate to severe obstructive sleep apnea (OSA) in adults with obesity</w:t>
            </w:r>
          </w:p>
          <w:p w14:paraId="69CC1936" w14:textId="6D2D5F8C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62EC2AA6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192D0151" w14:textId="67CE9386" w:rsidR="00746B73" w:rsidRPr="00CF20F6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55F02075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74CD2806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7819FB4C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7FD52854" w14:textId="77777777" w:rsidTr="00746B73">
        <w:tc>
          <w:tcPr>
            <w:tcW w:w="3029" w:type="dxa"/>
            <w:shd w:val="clear" w:color="auto" w:fill="auto"/>
          </w:tcPr>
          <w:p w14:paraId="652615E6" w14:textId="77777777" w:rsidR="00746B73" w:rsidRPr="0098517D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Trikafta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elexacaftor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>-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tezacaftor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-ivacaftor) tablets &amp; oral granules received a label expansion for 94 additional CFTR mutations that are responsive to treatment </w:t>
            </w:r>
            <w:r w:rsidRPr="0098517D">
              <w:rPr>
                <w:rFonts w:ascii="Verdana" w:hAnsi="Verdana"/>
                <w:sz w:val="22"/>
                <w:szCs w:val="22"/>
              </w:rPr>
              <w:lastRenderedPageBreak/>
              <w:t xml:space="preserve">in patients with cystic fibrosis. </w:t>
            </w:r>
          </w:p>
          <w:p w14:paraId="71BB1DA5" w14:textId="00B7784C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5817EAD8" w14:textId="77777777" w:rsidR="00746B73" w:rsidRPr="0030792C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F: all lines of business</w:t>
            </w:r>
          </w:p>
          <w:p w14:paraId="326D34FC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7D855C65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22966CB5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4C1157FE" w14:textId="77777777" w:rsidTr="00746B73">
        <w:tc>
          <w:tcPr>
            <w:tcW w:w="3029" w:type="dxa"/>
            <w:shd w:val="clear" w:color="auto" w:fill="auto"/>
          </w:tcPr>
          <w:p w14:paraId="1AC49CC9" w14:textId="77777777" w:rsidR="00746B73" w:rsidRPr="00CB12F0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Arixtra</w:t>
            </w:r>
            <w:proofErr w:type="spellEnd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98517D">
              <w:rPr>
                <w:rFonts w:ascii="Verdana" w:hAnsi="Verdana"/>
                <w:sz w:val="22"/>
                <w:szCs w:val="22"/>
              </w:rPr>
              <w:t>(fondaparinux) SC prefilled syringes for venous thromboembolism in pediatric patients ≥ 1 year old (age expansion)</w:t>
            </w:r>
          </w:p>
          <w:p w14:paraId="2987B41C" w14:textId="198EA798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5DE8BE6C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44DE1A76" w14:textId="0FA4219F" w:rsidR="00746B73" w:rsidRPr="0030792C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56156AB1" w14:textId="334A091B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00369664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EAADDF2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21A8E4DC" w14:textId="77777777" w:rsidTr="00746B73">
        <w:tc>
          <w:tcPr>
            <w:tcW w:w="3029" w:type="dxa"/>
            <w:shd w:val="clear" w:color="auto" w:fill="auto"/>
          </w:tcPr>
          <w:p w14:paraId="251EAC6F" w14:textId="77777777" w:rsidR="00746B73" w:rsidRPr="0098517D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Invokana</w:t>
            </w:r>
            <w:r w:rsidRPr="0098517D">
              <w:rPr>
                <w:rFonts w:ascii="Verdana" w:hAnsi="Verdana"/>
                <w:sz w:val="22"/>
                <w:szCs w:val="22"/>
              </w:rPr>
              <w:t xml:space="preserve"> (canagliflozin) &amp; </w:t>
            </w: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Invokamet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[XR] (canagliflozin/metformin) for type 2 diabetes in patients ≥ 10 years age expansion</w:t>
            </w:r>
          </w:p>
          <w:p w14:paraId="0475C968" w14:textId="10C03D9A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754A39B6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3B9500B7" w14:textId="78A5528D" w:rsidR="00746B73" w:rsidRPr="0030792C" w:rsidRDefault="00854C16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Medical Assistance</w:t>
            </w:r>
            <w:r w:rsidR="00746B73">
              <w:rPr>
                <w:rFonts w:ascii="Verdana" w:hAnsi="Verdana"/>
              </w:rPr>
              <w:t xml:space="preserve">: Invokana – PDL, </w:t>
            </w:r>
            <w:proofErr w:type="spellStart"/>
            <w:r w:rsidR="00746B73">
              <w:rPr>
                <w:rFonts w:ascii="Verdana" w:hAnsi="Verdana"/>
              </w:rPr>
              <w:t>Invokamet</w:t>
            </w:r>
            <w:proofErr w:type="spellEnd"/>
            <w:r w:rsidR="00746B73">
              <w:rPr>
                <w:rFonts w:ascii="Verdana" w:hAnsi="Verdana"/>
              </w:rPr>
              <w:t xml:space="preserve"> XR - NP</w:t>
            </w:r>
          </w:p>
          <w:p w14:paraId="35BC5E9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49342C01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685AF75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5D030395" w14:textId="77777777" w:rsidTr="00746B73">
        <w:tc>
          <w:tcPr>
            <w:tcW w:w="3029" w:type="dxa"/>
            <w:shd w:val="clear" w:color="auto" w:fill="auto"/>
          </w:tcPr>
          <w:p w14:paraId="686187E9" w14:textId="77777777" w:rsidR="00746B73" w:rsidRPr="00CB12F0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Gemtesa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vibegron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>) 75 mg tablet for overactive bladder (OAB) in adult males on pharmacologic therapy for benign prostatic hyperplasia (BPH)</w:t>
            </w:r>
          </w:p>
          <w:p w14:paraId="7CE2438D" w14:textId="3A07F195" w:rsidR="00166739" w:rsidRPr="0000785E" w:rsidRDefault="00166739" w:rsidP="00166739">
            <w:pPr>
              <w:rPr>
                <w:rFonts w:ascii="Verdana" w:hAnsi="Verdana"/>
              </w:rPr>
            </w:pPr>
          </w:p>
        </w:tc>
        <w:tc>
          <w:tcPr>
            <w:tcW w:w="3884" w:type="dxa"/>
            <w:shd w:val="clear" w:color="auto" w:fill="auto"/>
          </w:tcPr>
          <w:p w14:paraId="55EA8B0E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  <w:p w14:paraId="21E578AC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IFP</w:t>
            </w:r>
          </w:p>
          <w:p w14:paraId="7B531720" w14:textId="7AC0DD5C" w:rsidR="00746B73" w:rsidRPr="0030792C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0F46833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71890C9C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1F24ACB9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215003E8" w14:textId="77777777" w:rsidTr="00746B73">
        <w:tc>
          <w:tcPr>
            <w:tcW w:w="3029" w:type="dxa"/>
            <w:shd w:val="clear" w:color="auto" w:fill="auto"/>
          </w:tcPr>
          <w:p w14:paraId="0D992F6F" w14:textId="77777777" w:rsidR="00746B73" w:rsidRPr="0098517D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Omvoh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mirikizumab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>) 100mg/mL SQ injection for moderately to severely active</w:t>
            </w:r>
          </w:p>
          <w:p w14:paraId="48BD5F35" w14:textId="77777777" w:rsidR="00746B73" w:rsidRPr="0098517D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8517D">
              <w:rPr>
                <w:rFonts w:ascii="Verdana" w:hAnsi="Verdana"/>
                <w:sz w:val="22"/>
                <w:szCs w:val="22"/>
              </w:rPr>
              <w:t>Crohn's disease</w:t>
            </w:r>
          </w:p>
          <w:p w14:paraId="3947B66E" w14:textId="5DCBBEE6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4EA8E74E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40BE6DE8" w14:textId="16FB827A" w:rsidR="00746B73" w:rsidRPr="0030792C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0F2E68CA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31B5BAA1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0276C429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7C8936F3" w14:textId="77777777" w:rsidTr="00746B73">
        <w:tc>
          <w:tcPr>
            <w:tcW w:w="3029" w:type="dxa"/>
            <w:shd w:val="clear" w:color="auto" w:fill="auto"/>
          </w:tcPr>
          <w:p w14:paraId="6FAF5294" w14:textId="77777777" w:rsidR="00746B73" w:rsidRPr="00CB12F0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Lumakras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sotorasib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) and </w:t>
            </w:r>
            <w:proofErr w:type="spellStart"/>
            <w:r w:rsidRPr="00746B73">
              <w:rPr>
                <w:rFonts w:ascii="Verdana" w:hAnsi="Verdana"/>
                <w:b/>
                <w:bCs/>
                <w:sz w:val="22"/>
                <w:szCs w:val="22"/>
              </w:rPr>
              <w:t>Vectibix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(panitumumab) received a new indication to be used in combination to treat patients with KRAS G72-C mutated metastatic colorectal cancer (mCRC) who have progressed on standard chemotherapy regimens. 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Vectibix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is a medical drug.</w:t>
            </w:r>
          </w:p>
          <w:p w14:paraId="04859285" w14:textId="6C6776F0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0439AB3D" w14:textId="77777777" w:rsidR="00746B73" w:rsidRPr="0030792C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  <w:p w14:paraId="1352B649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23C57301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6727CA4F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503A1F1B" w14:textId="77777777" w:rsidTr="00746B73">
        <w:tc>
          <w:tcPr>
            <w:tcW w:w="3029" w:type="dxa"/>
            <w:shd w:val="clear" w:color="auto" w:fill="auto"/>
          </w:tcPr>
          <w:p w14:paraId="149B2706" w14:textId="77777777" w:rsidR="00746B73" w:rsidRPr="0098517D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Calquence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acalalbrutinib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) for MCL in adults who have received 1 prior therapy traditional approval &amp; in combination with 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bendamustine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and rituximab for adults with previously untreated MCL who are ineligible for autologous HSCT.</w:t>
            </w:r>
          </w:p>
          <w:p w14:paraId="67CE7B4A" w14:textId="584AB8EA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4982F7F3" w14:textId="77777777" w:rsidR="00746B73" w:rsidRPr="0030792C" w:rsidRDefault="00746B73" w:rsidP="00746B73">
            <w:pPr>
              <w:rPr>
                <w:rFonts w:ascii="Verdana" w:hAnsi="Verdana"/>
              </w:rPr>
            </w:pPr>
            <w:r w:rsidRPr="0030792C">
              <w:rPr>
                <w:rFonts w:ascii="Verdana" w:hAnsi="Verdana"/>
              </w:rPr>
              <w:t>F: all lines of business</w:t>
            </w:r>
          </w:p>
          <w:p w14:paraId="775CC2C9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3D9F28FF" w14:textId="77777777" w:rsidR="00746B73" w:rsidRPr="00AF03AD" w:rsidRDefault="00746B73" w:rsidP="00746B73">
            <w:pPr>
              <w:rPr>
                <w:rFonts w:ascii="Verdana" w:hAnsi="Verdana"/>
              </w:rPr>
            </w:pPr>
            <w:r w:rsidRPr="00AF03AD">
              <w:rPr>
                <w:rFonts w:ascii="Verdana" w:hAnsi="Verdana"/>
              </w:rPr>
              <w:t>No change</w:t>
            </w:r>
          </w:p>
          <w:p w14:paraId="3CA9915B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2CADF6B0" w14:textId="77777777" w:rsidTr="00746B73">
        <w:tc>
          <w:tcPr>
            <w:tcW w:w="3029" w:type="dxa"/>
            <w:shd w:val="clear" w:color="auto" w:fill="auto"/>
          </w:tcPr>
          <w:p w14:paraId="4D843B3B" w14:textId="77777777" w:rsidR="00746B73" w:rsidRPr="0098517D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Ozempic</w:t>
            </w:r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semaglutide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>) to reduce the risk of kidney disease worsening, kidney failure, and death from CV disease in adults with type 2 diabetes and CKD</w:t>
            </w:r>
          </w:p>
          <w:p w14:paraId="00C80469" w14:textId="45A4E038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223B6CC2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IFP</w:t>
            </w:r>
          </w:p>
          <w:p w14:paraId="5CC802ED" w14:textId="777777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PPO</w:t>
            </w:r>
          </w:p>
          <w:p w14:paraId="00251DA3" w14:textId="47750108" w:rsidR="00746B73" w:rsidRPr="0030792C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PDL: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145DE97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56910382" w14:textId="77777777" w:rsidR="00746B73" w:rsidRPr="0030792C" w:rsidRDefault="00746B73" w:rsidP="00746B73">
            <w:pPr>
              <w:rPr>
                <w:rFonts w:ascii="Verdana" w:hAnsi="Verdana"/>
              </w:rPr>
            </w:pPr>
            <w:r w:rsidRPr="0030792C">
              <w:rPr>
                <w:rFonts w:ascii="Verdana" w:hAnsi="Verdana"/>
              </w:rPr>
              <w:t>No change</w:t>
            </w:r>
          </w:p>
          <w:p w14:paraId="71D25258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  <w:tr w:rsidR="00166739" w:rsidRPr="00852F8C" w14:paraId="638DFFF4" w14:textId="77777777" w:rsidTr="00746B73">
        <w:tc>
          <w:tcPr>
            <w:tcW w:w="3029" w:type="dxa"/>
            <w:shd w:val="clear" w:color="auto" w:fill="auto"/>
          </w:tcPr>
          <w:p w14:paraId="04E0CB65" w14:textId="77777777" w:rsidR="00746B73" w:rsidRPr="0098517D" w:rsidRDefault="00746B73" w:rsidP="00746B73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98517D">
              <w:rPr>
                <w:rFonts w:ascii="Verdana" w:hAnsi="Verdana"/>
                <w:b/>
                <w:bCs/>
                <w:sz w:val="22"/>
                <w:szCs w:val="22"/>
              </w:rPr>
              <w:t>Spravato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 (</w:t>
            </w:r>
            <w:proofErr w:type="spellStart"/>
            <w:r w:rsidRPr="0098517D">
              <w:rPr>
                <w:rFonts w:ascii="Verdana" w:hAnsi="Verdana"/>
                <w:sz w:val="22"/>
                <w:szCs w:val="22"/>
              </w:rPr>
              <w:t>esketamine</w:t>
            </w:r>
            <w:proofErr w:type="spellEnd"/>
            <w:r w:rsidRPr="0098517D">
              <w:rPr>
                <w:rFonts w:ascii="Verdana" w:hAnsi="Verdana"/>
                <w:sz w:val="22"/>
                <w:szCs w:val="22"/>
              </w:rPr>
              <w:t xml:space="preserve">) 28 mg nasal spray received an expanded indication to be used as monotherapy for treatment resistant depression (TRD). </w:t>
            </w:r>
          </w:p>
          <w:p w14:paraId="176AFBA5" w14:textId="613A9DCE" w:rsidR="00166739" w:rsidRPr="0000785E" w:rsidRDefault="00166739" w:rsidP="00F6467A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884" w:type="dxa"/>
            <w:shd w:val="clear" w:color="auto" w:fill="auto"/>
          </w:tcPr>
          <w:p w14:paraId="7A5E27D3" w14:textId="3FEBBE77" w:rsidR="00746B73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F: IFP,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092ABD45" w14:textId="77777777" w:rsidR="00746B73" w:rsidRPr="0030792C" w:rsidRDefault="00746B73" w:rsidP="00746B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</w:t>
            </w:r>
          </w:p>
          <w:p w14:paraId="7E44B3B7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  <w:tc>
          <w:tcPr>
            <w:tcW w:w="4004" w:type="dxa"/>
            <w:shd w:val="clear" w:color="auto" w:fill="auto"/>
          </w:tcPr>
          <w:p w14:paraId="5731AA07" w14:textId="77777777" w:rsidR="00746B73" w:rsidRPr="0030792C" w:rsidRDefault="00746B73" w:rsidP="00746B73">
            <w:pPr>
              <w:rPr>
                <w:rFonts w:ascii="Verdana" w:hAnsi="Verdana"/>
              </w:rPr>
            </w:pPr>
            <w:r w:rsidRPr="0030792C">
              <w:rPr>
                <w:rFonts w:ascii="Verdana" w:hAnsi="Verdana"/>
              </w:rPr>
              <w:t>No change</w:t>
            </w:r>
          </w:p>
          <w:p w14:paraId="2CAF7E53" w14:textId="77777777" w:rsidR="00166739" w:rsidRPr="00AF03AD" w:rsidRDefault="00166739" w:rsidP="00746B73">
            <w:pPr>
              <w:rPr>
                <w:rFonts w:ascii="Verdana" w:hAnsi="Verdana"/>
              </w:rPr>
            </w:pPr>
          </w:p>
        </w:tc>
      </w:tr>
    </w:tbl>
    <w:p w14:paraId="0671F897" w14:textId="3AD8DE7D" w:rsidR="007D1D6A" w:rsidRPr="00852F8C" w:rsidRDefault="007D1D6A" w:rsidP="003628BE">
      <w:pPr>
        <w:rPr>
          <w:rFonts w:ascii="Verdana" w:eastAsia="Times New Roman" w:hAnsi="Verdana" w:cs="Arial"/>
          <w:sz w:val="20"/>
          <w:szCs w:val="20"/>
        </w:rPr>
      </w:pPr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4971A5" w:rsidRPr="00852F8C" w14:paraId="26EAAAF1" w14:textId="77777777" w:rsidTr="001C6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34B53623" w14:textId="79C97540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New Generics Review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20"/>
        <w:gridCol w:w="4262"/>
        <w:gridCol w:w="4135"/>
      </w:tblGrid>
      <w:tr w:rsidR="004971A5" w:rsidRPr="00852F8C" w14:paraId="3AC4146F" w14:textId="77777777" w:rsidTr="001C6EB3">
        <w:trPr>
          <w:trHeight w:val="566"/>
        </w:trPr>
        <w:tc>
          <w:tcPr>
            <w:tcW w:w="2520" w:type="dxa"/>
          </w:tcPr>
          <w:p w14:paraId="13ACAB4E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4262" w:type="dxa"/>
          </w:tcPr>
          <w:p w14:paraId="62349B50" w14:textId="20D15088" w:rsidR="004971A5" w:rsidRPr="00AB22E9" w:rsidRDefault="00AB22E9" w:rsidP="001C6EB3">
            <w:pPr>
              <w:spacing w:after="240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B22E9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Rationale/Alternative</w:t>
            </w:r>
          </w:p>
        </w:tc>
        <w:tc>
          <w:tcPr>
            <w:tcW w:w="4135" w:type="dxa"/>
          </w:tcPr>
          <w:p w14:paraId="17372CF3" w14:textId="77777777" w:rsidR="004971A5" w:rsidRPr="00852F8C" w:rsidRDefault="004971A5" w:rsidP="001C6EB3">
            <w:pPr>
              <w:spacing w:after="24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sz w:val="20"/>
                <w:szCs w:val="20"/>
              </w:rPr>
              <w:t>Recommendation</w:t>
            </w:r>
          </w:p>
        </w:tc>
      </w:tr>
      <w:tr w:rsidR="00941DB4" w:rsidRPr="006547A2" w14:paraId="5ACE4110" w14:textId="77777777" w:rsidTr="001C6EB3">
        <w:tc>
          <w:tcPr>
            <w:tcW w:w="2520" w:type="dxa"/>
            <w:shd w:val="clear" w:color="auto" w:fill="auto"/>
          </w:tcPr>
          <w:p w14:paraId="0F50BBF8" w14:textId="7AA89617" w:rsidR="00941DB4" w:rsidRPr="006547A2" w:rsidRDefault="00FB700B" w:rsidP="00941DB4">
            <w:pPr>
              <w:rPr>
                <w:rFonts w:ascii="Verdana" w:hAnsi="Verdana" w:cs="Arial"/>
              </w:rPr>
            </w:pPr>
            <w:proofErr w:type="spellStart"/>
            <w:r w:rsidRPr="0098517D">
              <w:rPr>
                <w:rFonts w:ascii="Verdana" w:hAnsi="Verdana"/>
              </w:rPr>
              <w:t>Betimol</w:t>
            </w:r>
            <w:proofErr w:type="spellEnd"/>
            <w:r w:rsidRPr="0098517D">
              <w:rPr>
                <w:rFonts w:ascii="Verdana" w:hAnsi="Verdana"/>
              </w:rPr>
              <w:t xml:space="preserve"> (</w:t>
            </w:r>
            <w:r w:rsidRPr="0098517D">
              <w:rPr>
                <w:rFonts w:ascii="Verdana" w:hAnsi="Verdana"/>
                <w:b/>
                <w:bCs/>
              </w:rPr>
              <w:t>timolol</w:t>
            </w:r>
            <w:r w:rsidRPr="0098517D">
              <w:rPr>
                <w:rFonts w:ascii="Verdana" w:hAnsi="Verdana"/>
              </w:rPr>
              <w:t>) 0.5% ophthalmic solution for elevated intraocular pressure in glaucoma</w:t>
            </w:r>
          </w:p>
        </w:tc>
        <w:tc>
          <w:tcPr>
            <w:tcW w:w="4262" w:type="dxa"/>
            <w:shd w:val="clear" w:color="auto" w:fill="auto"/>
          </w:tcPr>
          <w:p w14:paraId="1C4A389E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 generic timolol hemihydrate 0.5% ophthalmic solution has launched </w:t>
            </w:r>
          </w:p>
          <w:p w14:paraId="2747E42C" w14:textId="26CBCFCA" w:rsidR="00941DB4" w:rsidRPr="006547A2" w:rsidRDefault="00941DB4" w:rsidP="00EA0D64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D8A5358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0C0945FA" w14:textId="00650707" w:rsidR="00941DB4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PDL: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153DEB7E" w14:textId="77777777" w:rsidTr="001C6EB3">
        <w:tc>
          <w:tcPr>
            <w:tcW w:w="2520" w:type="dxa"/>
            <w:shd w:val="clear" w:color="auto" w:fill="auto"/>
          </w:tcPr>
          <w:p w14:paraId="0FDA7E69" w14:textId="673EB555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</w:rPr>
              <w:t>Simlandi</w:t>
            </w:r>
            <w:proofErr w:type="spellEnd"/>
            <w:r w:rsidRPr="00135AD4">
              <w:rPr>
                <w:rFonts w:ascii="Verdana" w:hAnsi="Verdana"/>
              </w:rPr>
              <w:t xml:space="preserve"> (adalimumab-</w:t>
            </w:r>
            <w:proofErr w:type="spellStart"/>
            <w:r w:rsidRPr="00135AD4">
              <w:rPr>
                <w:rFonts w:ascii="Verdana" w:hAnsi="Verdana"/>
              </w:rPr>
              <w:t>ryvk</w:t>
            </w:r>
            <w:proofErr w:type="spellEnd"/>
            <w:r w:rsidRPr="00135AD4">
              <w:rPr>
                <w:rFonts w:ascii="Verdana" w:hAnsi="Verdana"/>
              </w:rPr>
              <w:t>) 40 mg/0.4 mL, 20mg/0.2 mL &amp; 80 mg/0.8 mL prefilled syringe for various inflammatory conditions</w:t>
            </w:r>
          </w:p>
        </w:tc>
        <w:tc>
          <w:tcPr>
            <w:tcW w:w="4262" w:type="dxa"/>
            <w:shd w:val="clear" w:color="auto" w:fill="auto"/>
          </w:tcPr>
          <w:p w14:paraId="13C203C1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Prefilled syringes of </w:t>
            </w:r>
            <w:proofErr w:type="spellStart"/>
            <w:r w:rsidRPr="00135AD4">
              <w:rPr>
                <w:rFonts w:ascii="Verdana" w:hAnsi="Verdana"/>
              </w:rPr>
              <w:t>Simlandi</w:t>
            </w:r>
            <w:proofErr w:type="spellEnd"/>
            <w:r w:rsidRPr="00135AD4">
              <w:rPr>
                <w:rFonts w:ascii="Verdana" w:hAnsi="Verdana"/>
              </w:rPr>
              <w:t xml:space="preserve"> are now available. They are priced at parity with the currently covered pen devices. Not addressed by the PDL currently</w:t>
            </w:r>
          </w:p>
          <w:p w14:paraId="4C302C2E" w14:textId="4D08A897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F1BB6BA" w14:textId="3975E6EB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466104D0" w14:textId="77777777" w:rsidTr="001C6EB3">
        <w:tc>
          <w:tcPr>
            <w:tcW w:w="2520" w:type="dxa"/>
            <w:shd w:val="clear" w:color="auto" w:fill="auto"/>
          </w:tcPr>
          <w:p w14:paraId="471AAA8F" w14:textId="5D1DD291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135AD4">
              <w:rPr>
                <w:rFonts w:ascii="Verdana" w:hAnsi="Verdana"/>
                <w:b/>
                <w:bCs/>
                <w:color w:val="000000"/>
              </w:rPr>
              <w:lastRenderedPageBreak/>
              <w:t>Adalimumab-</w:t>
            </w: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adaz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20 mg/0.2 mL prefilled syringe &amp; 80 mg/0.8 mL autoinjector for various inflammatory condition (</w:t>
            </w:r>
            <w:proofErr w:type="spellStart"/>
            <w:r w:rsidRPr="00135AD4">
              <w:rPr>
                <w:rFonts w:ascii="Verdana" w:hAnsi="Verdana"/>
                <w:color w:val="000000"/>
              </w:rPr>
              <w:t>Hyrimoz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biosimilar)</w:t>
            </w:r>
          </w:p>
        </w:tc>
        <w:tc>
          <w:tcPr>
            <w:tcW w:w="4262" w:type="dxa"/>
            <w:shd w:val="clear" w:color="auto" w:fill="auto"/>
          </w:tcPr>
          <w:p w14:paraId="41775984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>New 20 mg/0.2 mL prefilled syringe and 80 mg/0.8 mL auto-injector dosage forms of adalimumab-</w:t>
            </w:r>
            <w:proofErr w:type="spellStart"/>
            <w:r w:rsidRPr="00135AD4">
              <w:rPr>
                <w:rFonts w:ascii="Verdana" w:hAnsi="Verdana"/>
              </w:rPr>
              <w:t>adaz</w:t>
            </w:r>
            <w:proofErr w:type="spellEnd"/>
            <w:r w:rsidRPr="00135AD4">
              <w:rPr>
                <w:rFonts w:ascii="Verdana" w:hAnsi="Verdana"/>
              </w:rPr>
              <w:t xml:space="preserve"> (generically named </w:t>
            </w:r>
            <w:proofErr w:type="spellStart"/>
            <w:r w:rsidRPr="00135AD4">
              <w:rPr>
                <w:rFonts w:ascii="Verdana" w:hAnsi="Verdana"/>
              </w:rPr>
              <w:t>Hyrimoz</w:t>
            </w:r>
            <w:proofErr w:type="spellEnd"/>
            <w:r w:rsidRPr="00135AD4">
              <w:rPr>
                <w:rFonts w:ascii="Verdana" w:hAnsi="Verdana"/>
              </w:rPr>
              <w:t xml:space="preserve"> equivalent) </w:t>
            </w:r>
          </w:p>
          <w:p w14:paraId="650E1CBE" w14:textId="70E6F042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28400BFB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69719B55" w14:textId="151E721E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097E7538" w14:textId="77777777" w:rsidTr="001C6EB3">
        <w:tc>
          <w:tcPr>
            <w:tcW w:w="2520" w:type="dxa"/>
            <w:shd w:val="clear" w:color="auto" w:fill="auto"/>
          </w:tcPr>
          <w:p w14:paraId="655467F1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Wezlana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135AD4">
              <w:rPr>
                <w:rFonts w:ascii="Verdana" w:hAnsi="Verdana"/>
                <w:color w:val="000000"/>
              </w:rPr>
              <w:t>ustekinumab-auub</w:t>
            </w:r>
            <w:proofErr w:type="spellEnd"/>
            <w:r w:rsidRPr="00135AD4">
              <w:rPr>
                <w:rFonts w:ascii="Verdana" w:hAnsi="Verdana"/>
                <w:color w:val="000000"/>
              </w:rPr>
              <w:t>) 45 mg/0.5 mL &amp; 90 mg/mL SC vials &amp; prefilled syringes for various inflammatory conditions</w:t>
            </w:r>
          </w:p>
          <w:p w14:paraId="3DEBB748" w14:textId="669C0EDB" w:rsidR="00FB700B" w:rsidRPr="006547A2" w:rsidRDefault="00FB700B" w:rsidP="00FB700B">
            <w:pPr>
              <w:rPr>
                <w:rFonts w:ascii="Verdana" w:hAnsi="Verdana" w:cs="Arial"/>
              </w:rPr>
            </w:pPr>
          </w:p>
        </w:tc>
        <w:tc>
          <w:tcPr>
            <w:tcW w:w="4262" w:type="dxa"/>
            <w:shd w:val="clear" w:color="auto" w:fill="auto"/>
          </w:tcPr>
          <w:p w14:paraId="5A9DDD65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Amgen will only be distributing </w:t>
            </w:r>
            <w:proofErr w:type="spellStart"/>
            <w:r w:rsidRPr="00135AD4">
              <w:rPr>
                <w:rFonts w:ascii="Verdana" w:hAnsi="Verdana"/>
              </w:rPr>
              <w:t>Wezlana</w:t>
            </w:r>
            <w:proofErr w:type="spellEnd"/>
            <w:r w:rsidRPr="00135AD4">
              <w:rPr>
                <w:rFonts w:ascii="Verdana" w:hAnsi="Verdana"/>
              </w:rPr>
              <w:t xml:space="preserve"> through a private labeler associated with Optum, and the product will only be available at their specialty pharmacy.</w:t>
            </w:r>
          </w:p>
          <w:p w14:paraId="16E31F99" w14:textId="0BF2E392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223FED47" w14:textId="22F1FF6D" w:rsidR="00FB700B" w:rsidRPr="006547A2" w:rsidRDefault="00FB700B" w:rsidP="00FB700B">
            <w:pPr>
              <w:rPr>
                <w:rFonts w:ascii="Verdana" w:hAnsi="Verdana"/>
              </w:rPr>
            </w:pPr>
            <w:r w:rsidRPr="00D76284"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22504A76" w14:textId="77777777" w:rsidTr="001C6EB3">
        <w:tc>
          <w:tcPr>
            <w:tcW w:w="2520" w:type="dxa"/>
            <w:shd w:val="clear" w:color="auto" w:fill="auto"/>
          </w:tcPr>
          <w:p w14:paraId="69BBF7BE" w14:textId="1A04FF54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135AD4">
              <w:rPr>
                <w:rFonts w:ascii="Verdana" w:hAnsi="Verdana"/>
                <w:color w:val="000000"/>
                <w:lang w:val="da-DK"/>
              </w:rPr>
              <w:t xml:space="preserve">Victoza </w:t>
            </w:r>
            <w:r w:rsidRPr="00135AD4">
              <w:rPr>
                <w:rFonts w:ascii="Verdana" w:hAnsi="Verdana"/>
                <w:b/>
                <w:bCs/>
                <w:color w:val="000000"/>
                <w:lang w:val="da-DK"/>
              </w:rPr>
              <w:t xml:space="preserve">(liraglutide) </w:t>
            </w:r>
            <w:r w:rsidRPr="00135AD4">
              <w:rPr>
                <w:rFonts w:ascii="Verdana" w:hAnsi="Verdana"/>
                <w:color w:val="000000"/>
                <w:lang w:val="da-DK"/>
              </w:rPr>
              <w:t>18 mg/3 mL pen for type 2 diabetes</w:t>
            </w:r>
          </w:p>
        </w:tc>
        <w:tc>
          <w:tcPr>
            <w:tcW w:w="4262" w:type="dxa"/>
            <w:shd w:val="clear" w:color="auto" w:fill="auto"/>
          </w:tcPr>
          <w:p w14:paraId="6B1C1B92" w14:textId="17590A03" w:rsidR="00FB700B" w:rsidRPr="006547A2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The first true generic of liraglutide has launched to join the authorized generic product that has been available since late June. </w:t>
            </w:r>
          </w:p>
        </w:tc>
        <w:tc>
          <w:tcPr>
            <w:tcW w:w="4135" w:type="dxa"/>
            <w:shd w:val="clear" w:color="auto" w:fill="auto"/>
          </w:tcPr>
          <w:p w14:paraId="7E060059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IFP</w:t>
            </w:r>
          </w:p>
          <w:p w14:paraId="47484C6B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PPO</w:t>
            </w:r>
          </w:p>
          <w:p w14:paraId="305AB14B" w14:textId="1C870D27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35A63BF4" w14:textId="77777777" w:rsidTr="001C6EB3">
        <w:tc>
          <w:tcPr>
            <w:tcW w:w="2520" w:type="dxa"/>
            <w:shd w:val="clear" w:color="auto" w:fill="auto"/>
          </w:tcPr>
          <w:p w14:paraId="1A12B963" w14:textId="36957F8A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color w:val="000000"/>
              </w:rPr>
              <w:t>Motegrity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</w:t>
            </w:r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(prucalopride) </w:t>
            </w:r>
            <w:r w:rsidRPr="00135AD4">
              <w:rPr>
                <w:rFonts w:ascii="Verdana" w:hAnsi="Verdana"/>
                <w:color w:val="000000"/>
              </w:rPr>
              <w:t>1 &amp; 2 mg tablets for chronic idiopathic constipation</w:t>
            </w:r>
          </w:p>
        </w:tc>
        <w:tc>
          <w:tcPr>
            <w:tcW w:w="4262" w:type="dxa"/>
            <w:shd w:val="clear" w:color="auto" w:fill="auto"/>
          </w:tcPr>
          <w:p w14:paraId="5B5EBAC5" w14:textId="05218FBA" w:rsidR="00FB700B" w:rsidRPr="006547A2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 generic prucalopride has launched from a single manufacturer. The product has launched at a small 15% discount to brand. </w:t>
            </w:r>
          </w:p>
        </w:tc>
        <w:tc>
          <w:tcPr>
            <w:tcW w:w="4135" w:type="dxa"/>
            <w:shd w:val="clear" w:color="auto" w:fill="auto"/>
          </w:tcPr>
          <w:p w14:paraId="7DA9EA9B" w14:textId="77777777" w:rsidR="00FB700B" w:rsidRPr="00974FC7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  <w:p w14:paraId="5C2FED0F" w14:textId="77777777" w:rsidR="00FB700B" w:rsidRPr="006547A2" w:rsidRDefault="00FB700B" w:rsidP="00FB700B">
            <w:pPr>
              <w:rPr>
                <w:rFonts w:ascii="Verdana" w:hAnsi="Verdana"/>
              </w:rPr>
            </w:pPr>
          </w:p>
        </w:tc>
      </w:tr>
      <w:tr w:rsidR="00FB700B" w:rsidRPr="006547A2" w14:paraId="5BFD520E" w14:textId="77777777" w:rsidTr="001C6EB3">
        <w:tc>
          <w:tcPr>
            <w:tcW w:w="2520" w:type="dxa"/>
            <w:shd w:val="clear" w:color="auto" w:fill="auto"/>
          </w:tcPr>
          <w:p w14:paraId="42F8FB12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Nypozi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(filgrastim-</w:t>
            </w:r>
            <w:proofErr w:type="spellStart"/>
            <w:r w:rsidRPr="00135AD4">
              <w:rPr>
                <w:rFonts w:ascii="Verdana" w:hAnsi="Verdana"/>
                <w:color w:val="000000"/>
              </w:rPr>
              <w:t>txid</w:t>
            </w:r>
            <w:proofErr w:type="spellEnd"/>
            <w:r w:rsidRPr="00135AD4">
              <w:rPr>
                <w:rFonts w:ascii="Verdana" w:hAnsi="Verdana"/>
                <w:color w:val="000000"/>
              </w:rPr>
              <w:t>) 300</w:t>
            </w:r>
          </w:p>
          <w:p w14:paraId="64C4B8C1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r w:rsidRPr="00135AD4">
              <w:rPr>
                <w:rFonts w:ascii="Verdana" w:hAnsi="Verdana"/>
                <w:color w:val="000000"/>
              </w:rPr>
              <w:t>mcg/0.5 mL &amp; 480 mcg/0.8 mL</w:t>
            </w:r>
          </w:p>
          <w:p w14:paraId="008BA9B7" w14:textId="69F0AE6F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135AD4">
              <w:rPr>
                <w:rFonts w:ascii="Verdana" w:hAnsi="Verdana"/>
                <w:color w:val="000000"/>
              </w:rPr>
              <w:t>prefilled syringe for neutropenia</w:t>
            </w:r>
          </w:p>
        </w:tc>
        <w:tc>
          <w:tcPr>
            <w:tcW w:w="4262" w:type="dxa"/>
            <w:shd w:val="clear" w:color="auto" w:fill="auto"/>
          </w:tcPr>
          <w:p w14:paraId="077DD1DA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>New biosimilar for Neupogen, higher net cost than formulary products</w:t>
            </w:r>
          </w:p>
          <w:p w14:paraId="08FA9272" w14:textId="78AE59BD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0FD0E567" w14:textId="2E00371B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EE88C20" w14:textId="77777777" w:rsidTr="001C6EB3">
        <w:tc>
          <w:tcPr>
            <w:tcW w:w="2520" w:type="dxa"/>
            <w:shd w:val="clear" w:color="auto" w:fill="auto"/>
          </w:tcPr>
          <w:p w14:paraId="347F1E2C" w14:textId="3FCE2BD8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135AD4">
              <w:rPr>
                <w:rFonts w:ascii="Verdana" w:hAnsi="Verdana"/>
                <w:color w:val="000000"/>
              </w:rPr>
              <w:t xml:space="preserve">Nexium </w:t>
            </w:r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(esomeprazole) </w:t>
            </w:r>
            <w:r w:rsidRPr="00135AD4">
              <w:rPr>
                <w:rFonts w:ascii="Verdana" w:hAnsi="Verdana"/>
                <w:color w:val="000000"/>
              </w:rPr>
              <w:t>2.5 mg &amp; 5 mg DR granules for GERD and hypersecretory conditions</w:t>
            </w:r>
          </w:p>
        </w:tc>
        <w:tc>
          <w:tcPr>
            <w:tcW w:w="4262" w:type="dxa"/>
            <w:shd w:val="clear" w:color="auto" w:fill="auto"/>
          </w:tcPr>
          <w:p w14:paraId="31EF0385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>The last 2 brand-only strengths of Nexium granules for oral suspension have seen generic launches.</w:t>
            </w:r>
          </w:p>
          <w:p w14:paraId="0BB53CB4" w14:textId="109ADCFC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4F7868D" w14:textId="77777777" w:rsidR="00FB700B" w:rsidRDefault="00FB700B" w:rsidP="00FB700B">
            <w:pPr>
              <w:tabs>
                <w:tab w:val="left" w:pos="93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42E67A24" w14:textId="7E6E47E3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7C515A9A" w14:textId="77777777" w:rsidTr="001C6EB3">
        <w:tc>
          <w:tcPr>
            <w:tcW w:w="2520" w:type="dxa"/>
            <w:shd w:val="clear" w:color="auto" w:fill="auto"/>
          </w:tcPr>
          <w:p w14:paraId="612B53F0" w14:textId="7BB1F270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color w:val="000000"/>
              </w:rPr>
              <w:t>Namzaric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</w:t>
            </w:r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(memantine-donepezil) </w:t>
            </w:r>
            <w:r w:rsidRPr="00135AD4">
              <w:rPr>
                <w:rFonts w:ascii="Verdana" w:hAnsi="Verdana"/>
                <w:color w:val="000000"/>
              </w:rPr>
              <w:t>14-10 mg &amp; 28-10 mg ER capsules for Alzheimer’s disease</w:t>
            </w:r>
          </w:p>
        </w:tc>
        <w:tc>
          <w:tcPr>
            <w:tcW w:w="4262" w:type="dxa"/>
            <w:shd w:val="clear" w:color="auto" w:fill="auto"/>
          </w:tcPr>
          <w:p w14:paraId="6AB041FD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 generic version of the extended-release formulation of </w:t>
            </w:r>
            <w:proofErr w:type="spellStart"/>
            <w:r w:rsidRPr="00135AD4">
              <w:rPr>
                <w:rFonts w:ascii="Verdana" w:hAnsi="Verdana"/>
              </w:rPr>
              <w:t>Namzaric</w:t>
            </w:r>
            <w:proofErr w:type="spellEnd"/>
            <w:r w:rsidRPr="00135AD4">
              <w:rPr>
                <w:rFonts w:ascii="Verdana" w:hAnsi="Verdana"/>
              </w:rPr>
              <w:t xml:space="preserve"> has launched at a nominal price reduction.</w:t>
            </w:r>
          </w:p>
          <w:p w14:paraId="563FF88D" w14:textId="143517A7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6F2F154F" w14:textId="732C5646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0A55F13E" w14:textId="77777777" w:rsidTr="001C6EB3">
        <w:tc>
          <w:tcPr>
            <w:tcW w:w="2520" w:type="dxa"/>
            <w:shd w:val="clear" w:color="auto" w:fill="auto"/>
          </w:tcPr>
          <w:p w14:paraId="2AE841DF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135AD4">
              <w:rPr>
                <w:rFonts w:ascii="Verdana" w:hAnsi="Verdana"/>
                <w:color w:val="000000"/>
              </w:rPr>
              <w:lastRenderedPageBreak/>
              <w:t>Mesnex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</w:t>
            </w:r>
            <w:r w:rsidRPr="00135AD4">
              <w:rPr>
                <w:rFonts w:ascii="Verdana" w:hAnsi="Verdana"/>
                <w:b/>
                <w:bCs/>
                <w:color w:val="000000"/>
              </w:rPr>
              <w:t>(</w:t>
            </w: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mesna</w:t>
            </w:r>
            <w:proofErr w:type="spellEnd"/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) </w:t>
            </w:r>
            <w:r w:rsidRPr="00135AD4">
              <w:rPr>
                <w:rFonts w:ascii="Verdana" w:hAnsi="Verdana"/>
                <w:color w:val="000000"/>
              </w:rPr>
              <w:t>400 mg tablet</w:t>
            </w:r>
          </w:p>
          <w:p w14:paraId="2B33DE55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r w:rsidRPr="00135AD4">
              <w:rPr>
                <w:rFonts w:ascii="Verdana" w:hAnsi="Verdana"/>
                <w:color w:val="000000"/>
              </w:rPr>
              <w:t xml:space="preserve">for </w:t>
            </w:r>
            <w:proofErr w:type="spellStart"/>
            <w:r w:rsidRPr="00135AD4">
              <w:rPr>
                <w:rFonts w:ascii="Verdana" w:hAnsi="Verdana"/>
                <w:color w:val="000000"/>
              </w:rPr>
              <w:t>ifosfamide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induced</w:t>
            </w:r>
          </w:p>
          <w:p w14:paraId="0E858EE4" w14:textId="7FE51FF1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r w:rsidRPr="00135AD4">
              <w:rPr>
                <w:rFonts w:ascii="Verdana" w:hAnsi="Verdana"/>
                <w:color w:val="000000"/>
              </w:rPr>
              <w:t>hemorrhagic cystitis</w:t>
            </w:r>
          </w:p>
        </w:tc>
        <w:tc>
          <w:tcPr>
            <w:tcW w:w="4262" w:type="dxa"/>
            <w:shd w:val="clear" w:color="auto" w:fill="auto"/>
          </w:tcPr>
          <w:p w14:paraId="34C78790" w14:textId="493B8388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 generic version of </w:t>
            </w:r>
            <w:proofErr w:type="spellStart"/>
            <w:r w:rsidRPr="00135AD4">
              <w:rPr>
                <w:rFonts w:ascii="Verdana" w:hAnsi="Verdana"/>
              </w:rPr>
              <w:t>Mesnex</w:t>
            </w:r>
            <w:proofErr w:type="spellEnd"/>
            <w:r w:rsidRPr="00135AD4">
              <w:rPr>
                <w:rFonts w:ascii="Verdana" w:hAnsi="Verdana"/>
              </w:rPr>
              <w:t xml:space="preserve"> has launched at approximately a 20% discount to the branded product. </w:t>
            </w:r>
          </w:p>
        </w:tc>
        <w:tc>
          <w:tcPr>
            <w:tcW w:w="4135" w:type="dxa"/>
            <w:shd w:val="clear" w:color="auto" w:fill="auto"/>
          </w:tcPr>
          <w:p w14:paraId="65A87323" w14:textId="628E62E9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6A6BBFE8" w14:textId="77777777" w:rsidTr="001C6EB3">
        <w:tc>
          <w:tcPr>
            <w:tcW w:w="2520" w:type="dxa"/>
            <w:shd w:val="clear" w:color="auto" w:fill="auto"/>
          </w:tcPr>
          <w:p w14:paraId="42687EB6" w14:textId="6B0A07C3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135AD4">
              <w:rPr>
                <w:rFonts w:ascii="Verdana" w:hAnsi="Verdana"/>
                <w:color w:val="000000"/>
              </w:rPr>
              <w:t>Spritam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</w:t>
            </w:r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(levetiracetam) </w:t>
            </w:r>
            <w:r w:rsidRPr="00135AD4">
              <w:rPr>
                <w:rFonts w:ascii="Verdana" w:hAnsi="Verdana"/>
                <w:color w:val="000000"/>
              </w:rPr>
              <w:t>250 mg disintegrating tablet for seizures (authorized generic)</w:t>
            </w:r>
          </w:p>
        </w:tc>
        <w:tc>
          <w:tcPr>
            <w:tcW w:w="4262" w:type="dxa"/>
            <w:shd w:val="clear" w:color="auto" w:fill="auto"/>
          </w:tcPr>
          <w:p w14:paraId="03E60754" w14:textId="77777777" w:rsidR="00FB700B" w:rsidRPr="00135AD4" w:rsidRDefault="00FB700B" w:rsidP="00FB700B">
            <w:pPr>
              <w:rPr>
                <w:rFonts w:ascii="Verdana" w:hAnsi="Verdana"/>
              </w:rPr>
            </w:pPr>
            <w:proofErr w:type="spellStart"/>
            <w:r w:rsidRPr="00135AD4">
              <w:rPr>
                <w:rFonts w:ascii="Verdana" w:hAnsi="Verdana"/>
              </w:rPr>
              <w:t>Prasco</w:t>
            </w:r>
            <w:proofErr w:type="spellEnd"/>
            <w:r w:rsidRPr="00135AD4">
              <w:rPr>
                <w:rFonts w:ascii="Verdana" w:hAnsi="Verdana"/>
              </w:rPr>
              <w:t xml:space="preserve"> has launched an authorized generic for </w:t>
            </w:r>
            <w:proofErr w:type="spellStart"/>
            <w:r w:rsidRPr="00135AD4">
              <w:rPr>
                <w:rFonts w:ascii="Verdana" w:hAnsi="Verdana"/>
              </w:rPr>
              <w:t>Spritam</w:t>
            </w:r>
            <w:proofErr w:type="spellEnd"/>
            <w:r w:rsidRPr="00135AD4">
              <w:rPr>
                <w:rFonts w:ascii="Verdana" w:hAnsi="Verdana"/>
              </w:rPr>
              <w:t>, with a substantially higher WAC price.</w:t>
            </w:r>
          </w:p>
          <w:p w14:paraId="3DD1E163" w14:textId="77777777" w:rsidR="00FB700B" w:rsidRPr="00135AD4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06D08AE" w14:textId="1D0A6DEC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NF: IFP,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37C06191" w14:textId="31F2D0EE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</w:tc>
      </w:tr>
      <w:tr w:rsidR="00FB700B" w:rsidRPr="006547A2" w14:paraId="590C5C4E" w14:textId="77777777" w:rsidTr="001C6EB3">
        <w:tc>
          <w:tcPr>
            <w:tcW w:w="2520" w:type="dxa"/>
            <w:shd w:val="clear" w:color="auto" w:fill="auto"/>
          </w:tcPr>
          <w:p w14:paraId="0EB38C2B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135AD4">
              <w:rPr>
                <w:rFonts w:ascii="Verdana" w:hAnsi="Verdana"/>
                <w:color w:val="000000"/>
              </w:rPr>
              <w:t>Fulvicin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</w:t>
            </w:r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(griseofulvin) </w:t>
            </w:r>
            <w:r w:rsidRPr="00135AD4">
              <w:rPr>
                <w:rFonts w:ascii="Verdana" w:hAnsi="Verdana"/>
                <w:color w:val="000000"/>
              </w:rPr>
              <w:t>165 mg</w:t>
            </w:r>
          </w:p>
          <w:p w14:paraId="19150A8B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r w:rsidRPr="00135AD4">
              <w:rPr>
                <w:rFonts w:ascii="Verdana" w:hAnsi="Verdana"/>
                <w:color w:val="000000"/>
              </w:rPr>
              <w:t>tablet for dermatophyte</w:t>
            </w:r>
          </w:p>
          <w:p w14:paraId="2080C3C0" w14:textId="57423476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r w:rsidRPr="00135AD4">
              <w:rPr>
                <w:rFonts w:ascii="Verdana" w:hAnsi="Verdana"/>
                <w:color w:val="000000"/>
              </w:rPr>
              <w:t>infections</w:t>
            </w:r>
          </w:p>
        </w:tc>
        <w:tc>
          <w:tcPr>
            <w:tcW w:w="4262" w:type="dxa"/>
            <w:shd w:val="clear" w:color="auto" w:fill="auto"/>
          </w:tcPr>
          <w:p w14:paraId="6E70BC2A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>The new 165mg generic strength is approximately 10-20x higher cost than similar strength tablets or the oral suspension</w:t>
            </w:r>
          </w:p>
          <w:p w14:paraId="06E27133" w14:textId="77777777" w:rsidR="00FB700B" w:rsidRPr="00135AD4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135" w:type="dxa"/>
            <w:shd w:val="clear" w:color="auto" w:fill="auto"/>
          </w:tcPr>
          <w:p w14:paraId="4720866A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381D59D7" w14:textId="74B05DA2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</w:tbl>
    <w:p w14:paraId="1D317A5C" w14:textId="77777777" w:rsidR="00296E12" w:rsidRPr="006547A2" w:rsidRDefault="00296E12" w:rsidP="00E32DDA">
      <w:pPr>
        <w:rPr>
          <w:rFonts w:ascii="Verdana" w:eastAsia="Times New Roman" w:hAnsi="Verdana" w:cs="Arial"/>
          <w:b/>
        </w:rPr>
      </w:pPr>
      <w:bookmarkStart w:id="1" w:name="_Hlk65757423"/>
    </w:p>
    <w:tbl>
      <w:tblPr>
        <w:tblStyle w:val="LightList-Accent5"/>
        <w:tblW w:w="10885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85"/>
      </w:tblGrid>
      <w:tr w:rsidR="00255A16" w:rsidRPr="006547A2" w14:paraId="20EA93DD" w14:textId="77777777" w:rsidTr="00B6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5" w:type="dxa"/>
            <w:shd w:val="clear" w:color="auto" w:fill="00205B"/>
          </w:tcPr>
          <w:p w14:paraId="299A5639" w14:textId="3A6725C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eastAsia="Times New Roman" w:hAnsi="Verdana" w:cs="Arial"/>
              </w:rPr>
              <w:t xml:space="preserve">New or Expanded Formulations </w:t>
            </w:r>
          </w:p>
        </w:tc>
      </w:tr>
    </w:tbl>
    <w:tbl>
      <w:tblPr>
        <w:tblStyle w:val="TableGrid"/>
        <w:tblW w:w="10917" w:type="dxa"/>
        <w:tblInd w:w="-95" w:type="dxa"/>
        <w:tblLook w:val="04A0" w:firstRow="1" w:lastRow="0" w:firstColumn="1" w:lastColumn="0" w:noHBand="0" w:noVBand="1"/>
      </w:tblPr>
      <w:tblGrid>
        <w:gridCol w:w="2589"/>
        <w:gridCol w:w="4232"/>
        <w:gridCol w:w="4096"/>
      </w:tblGrid>
      <w:tr w:rsidR="00255A16" w:rsidRPr="006547A2" w14:paraId="0BA472AD" w14:textId="77777777" w:rsidTr="00876AB4">
        <w:trPr>
          <w:trHeight w:val="566"/>
        </w:trPr>
        <w:tc>
          <w:tcPr>
            <w:tcW w:w="2589" w:type="dxa"/>
          </w:tcPr>
          <w:p w14:paraId="62373FE1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  <w:bCs/>
              </w:rPr>
              <w:t>Drug</w:t>
            </w:r>
          </w:p>
        </w:tc>
        <w:tc>
          <w:tcPr>
            <w:tcW w:w="4232" w:type="dxa"/>
          </w:tcPr>
          <w:p w14:paraId="7C9A7639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  <w:b/>
                <w:bCs/>
              </w:rPr>
            </w:pPr>
            <w:r w:rsidRPr="006547A2">
              <w:rPr>
                <w:rFonts w:ascii="Verdana" w:eastAsia="Times New Roman" w:hAnsi="Verdana" w:cs="Arial"/>
                <w:b/>
                <w:bCs/>
              </w:rPr>
              <w:t>Rationale/Alternative</w:t>
            </w:r>
          </w:p>
        </w:tc>
        <w:tc>
          <w:tcPr>
            <w:tcW w:w="4096" w:type="dxa"/>
          </w:tcPr>
          <w:p w14:paraId="4CB66098" w14:textId="77777777" w:rsidR="00255A16" w:rsidRPr="006547A2" w:rsidRDefault="00255A16" w:rsidP="00B65A41">
            <w:pPr>
              <w:spacing w:after="240"/>
              <w:rPr>
                <w:rFonts w:ascii="Verdana" w:eastAsia="Times New Roman" w:hAnsi="Verdana" w:cs="Arial"/>
              </w:rPr>
            </w:pPr>
            <w:r w:rsidRPr="006547A2">
              <w:rPr>
                <w:rFonts w:ascii="Verdana" w:hAnsi="Verdana"/>
                <w:b/>
              </w:rPr>
              <w:t>Recommendation</w:t>
            </w:r>
          </w:p>
        </w:tc>
      </w:tr>
      <w:tr w:rsidR="00FB700B" w:rsidRPr="006547A2" w14:paraId="2DEE45DB" w14:textId="77777777" w:rsidTr="00876AB4">
        <w:tc>
          <w:tcPr>
            <w:tcW w:w="2589" w:type="dxa"/>
            <w:shd w:val="clear" w:color="auto" w:fill="auto"/>
          </w:tcPr>
          <w:p w14:paraId="3ED006F4" w14:textId="670E5CE7" w:rsidR="00FB700B" w:rsidRPr="00876AB4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</w:rPr>
              <w:t>Neffy</w:t>
            </w:r>
            <w:proofErr w:type="spellEnd"/>
            <w:r w:rsidRPr="00135AD4">
              <w:rPr>
                <w:rFonts w:ascii="Verdana" w:hAnsi="Verdana"/>
                <w:b/>
                <w:bCs/>
              </w:rPr>
              <w:t xml:space="preserve"> </w:t>
            </w:r>
            <w:r w:rsidRPr="00135AD4">
              <w:rPr>
                <w:rFonts w:ascii="Verdana" w:hAnsi="Verdana"/>
              </w:rPr>
              <w:t xml:space="preserve">(epinephrine) 2 mg/0.1 mL nasal spray for allergic reactions </w:t>
            </w:r>
          </w:p>
        </w:tc>
        <w:tc>
          <w:tcPr>
            <w:tcW w:w="4232" w:type="dxa"/>
            <w:shd w:val="clear" w:color="auto" w:fill="auto"/>
          </w:tcPr>
          <w:p w14:paraId="2D0EFA29" w14:textId="77777777" w:rsidR="00FB700B" w:rsidRPr="00135AD4" w:rsidRDefault="00FB700B" w:rsidP="00FB700B">
            <w:pPr>
              <w:rPr>
                <w:rFonts w:ascii="Verdana" w:hAnsi="Verdana"/>
              </w:rPr>
            </w:pPr>
            <w:proofErr w:type="spellStart"/>
            <w:r w:rsidRPr="00135AD4">
              <w:rPr>
                <w:rFonts w:ascii="Verdana" w:hAnsi="Verdana"/>
              </w:rPr>
              <w:t>Neffy</w:t>
            </w:r>
            <w:proofErr w:type="spellEnd"/>
            <w:r w:rsidRPr="00135AD4">
              <w:rPr>
                <w:rFonts w:ascii="Verdana" w:hAnsi="Verdana"/>
              </w:rPr>
              <w:t xml:space="preserve"> is the first non-injectable (nasal spray) form of epinephrine for treatment of anaphylaxis</w:t>
            </w:r>
          </w:p>
          <w:p w14:paraId="2F5851F7" w14:textId="07CCE289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A4D2E18" w14:textId="329FD47B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112DD9CA" w14:textId="77777777" w:rsidTr="00876AB4">
        <w:tc>
          <w:tcPr>
            <w:tcW w:w="2589" w:type="dxa"/>
            <w:shd w:val="clear" w:color="auto" w:fill="auto"/>
          </w:tcPr>
          <w:p w14:paraId="5F98A3E2" w14:textId="0659D50C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</w:rPr>
              <w:t>Augtyro</w:t>
            </w:r>
            <w:proofErr w:type="spellEnd"/>
            <w:r w:rsidRPr="00135AD4">
              <w:rPr>
                <w:rFonts w:ascii="Verdana" w:hAnsi="Verdana"/>
              </w:rPr>
              <w:t xml:space="preserve"> (</w:t>
            </w:r>
            <w:proofErr w:type="spellStart"/>
            <w:r w:rsidRPr="00135AD4">
              <w:rPr>
                <w:rFonts w:ascii="Verdana" w:hAnsi="Verdana"/>
              </w:rPr>
              <w:t>repotrectinib</w:t>
            </w:r>
            <w:proofErr w:type="spellEnd"/>
            <w:r w:rsidRPr="00135AD4">
              <w:rPr>
                <w:rFonts w:ascii="Verdana" w:hAnsi="Verdana"/>
              </w:rPr>
              <w:t xml:space="preserve">) 160 mg capsule for ROS1+ NSCLC and NTRK solid tumors </w:t>
            </w:r>
          </w:p>
        </w:tc>
        <w:tc>
          <w:tcPr>
            <w:tcW w:w="4232" w:type="dxa"/>
            <w:shd w:val="clear" w:color="auto" w:fill="auto"/>
          </w:tcPr>
          <w:p w14:paraId="3F4EF0CC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 new 160 mg strength of </w:t>
            </w:r>
            <w:proofErr w:type="spellStart"/>
            <w:r w:rsidRPr="00135AD4">
              <w:rPr>
                <w:rFonts w:ascii="Verdana" w:hAnsi="Verdana"/>
              </w:rPr>
              <w:t>repotrectinib</w:t>
            </w:r>
            <w:proofErr w:type="spellEnd"/>
            <w:r w:rsidRPr="00135AD4">
              <w:rPr>
                <w:rFonts w:ascii="Verdana" w:hAnsi="Verdana"/>
              </w:rPr>
              <w:t xml:space="preserve"> launched joining the 40 mg capsule. </w:t>
            </w:r>
          </w:p>
          <w:p w14:paraId="7DD3FADA" w14:textId="1A21E268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484B70A9" w14:textId="527887DE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2727C4DE" w14:textId="77777777" w:rsidTr="00876AB4">
        <w:tc>
          <w:tcPr>
            <w:tcW w:w="2589" w:type="dxa"/>
            <w:shd w:val="clear" w:color="auto" w:fill="auto"/>
          </w:tcPr>
          <w:p w14:paraId="4F625DB5" w14:textId="75012D9B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Lumakras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135AD4">
              <w:rPr>
                <w:rFonts w:ascii="Verdana" w:hAnsi="Verdana"/>
                <w:color w:val="000000"/>
              </w:rPr>
              <w:t>sotorasib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) 240 mg tablet for KRAS G12C-mutated NSCLC </w:t>
            </w:r>
          </w:p>
        </w:tc>
        <w:tc>
          <w:tcPr>
            <w:tcW w:w="4232" w:type="dxa"/>
            <w:shd w:val="clear" w:color="auto" w:fill="auto"/>
          </w:tcPr>
          <w:p w14:paraId="493F8AF8" w14:textId="77777777" w:rsidR="00FB700B" w:rsidRPr="00135AD4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 new 240 mg strength of </w:t>
            </w:r>
            <w:proofErr w:type="spellStart"/>
            <w:r w:rsidRPr="00135AD4">
              <w:rPr>
                <w:rFonts w:ascii="Verdana" w:hAnsi="Verdana"/>
              </w:rPr>
              <w:t>sotorasib</w:t>
            </w:r>
            <w:proofErr w:type="spellEnd"/>
            <w:r w:rsidRPr="00135AD4">
              <w:rPr>
                <w:rFonts w:ascii="Verdana" w:hAnsi="Verdana"/>
              </w:rPr>
              <w:t xml:space="preserve"> launched at the same cost per milligram as the 120 mg and 320 mg tablet.</w:t>
            </w:r>
          </w:p>
          <w:p w14:paraId="0BB1CFDC" w14:textId="79778CF5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3F7FDC00" w14:textId="25C32915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60F4F90A" w14:textId="77777777" w:rsidTr="00876AB4">
        <w:tc>
          <w:tcPr>
            <w:tcW w:w="2589" w:type="dxa"/>
            <w:shd w:val="clear" w:color="auto" w:fill="auto"/>
          </w:tcPr>
          <w:p w14:paraId="109B646E" w14:textId="4B0BCE10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Emrosi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(minocycline) 40 mg ER capsule for rosacea </w:t>
            </w:r>
          </w:p>
        </w:tc>
        <w:tc>
          <w:tcPr>
            <w:tcW w:w="4232" w:type="dxa"/>
            <w:shd w:val="clear" w:color="auto" w:fill="auto"/>
          </w:tcPr>
          <w:p w14:paraId="34689B44" w14:textId="1EED27F0" w:rsidR="00FB700B" w:rsidRPr="006547A2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>Branded minocycline product specifically indicated for the treatment of rosacea in adults. Generic minocycline available.</w:t>
            </w:r>
          </w:p>
        </w:tc>
        <w:tc>
          <w:tcPr>
            <w:tcW w:w="4096" w:type="dxa"/>
            <w:shd w:val="clear" w:color="auto" w:fill="auto"/>
          </w:tcPr>
          <w:p w14:paraId="2C19483C" w14:textId="0B21D9CA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</w:t>
            </w:r>
            <w:r w:rsidRPr="0040739A"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0809018C" w14:textId="77777777" w:rsidTr="00876AB4">
        <w:tc>
          <w:tcPr>
            <w:tcW w:w="2589" w:type="dxa"/>
            <w:shd w:val="clear" w:color="auto" w:fill="auto"/>
          </w:tcPr>
          <w:p w14:paraId="21C98F4D" w14:textId="2CACC551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135AD4">
              <w:rPr>
                <w:rFonts w:ascii="Verdana" w:hAnsi="Verdana"/>
                <w:b/>
                <w:bCs/>
                <w:color w:val="000000"/>
                <w:lang w:val="nb-NO"/>
              </w:rPr>
              <w:t>Tramadol</w:t>
            </w:r>
            <w:r w:rsidRPr="00135AD4">
              <w:rPr>
                <w:rFonts w:ascii="Verdana" w:hAnsi="Verdana"/>
                <w:color w:val="000000"/>
                <w:lang w:val="nb-NO"/>
              </w:rPr>
              <w:t xml:space="preserve"> 75 mg tablet for pain </w:t>
            </w:r>
          </w:p>
        </w:tc>
        <w:tc>
          <w:tcPr>
            <w:tcW w:w="4232" w:type="dxa"/>
            <w:shd w:val="clear" w:color="auto" w:fill="auto"/>
          </w:tcPr>
          <w:p w14:paraId="4C8B5324" w14:textId="7B1A9155" w:rsidR="00FB700B" w:rsidRPr="006547A2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 xml:space="preserve">A new 75 mg tramadol tablet has launched at $4.34 per tablet. </w:t>
            </w:r>
          </w:p>
        </w:tc>
        <w:tc>
          <w:tcPr>
            <w:tcW w:w="4096" w:type="dxa"/>
            <w:shd w:val="clear" w:color="auto" w:fill="auto"/>
          </w:tcPr>
          <w:p w14:paraId="18016193" w14:textId="45467313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3911519" w14:textId="77777777" w:rsidTr="00876AB4">
        <w:tc>
          <w:tcPr>
            <w:tcW w:w="2589" w:type="dxa"/>
            <w:shd w:val="clear" w:color="auto" w:fill="auto"/>
          </w:tcPr>
          <w:p w14:paraId="270EBAFE" w14:textId="3AB969DB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Opipza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(aripiprazole) 2, 5, &amp; 10 mg oral films for schizophrenia, MDD, </w:t>
            </w:r>
            <w:r w:rsidRPr="00135AD4">
              <w:rPr>
                <w:rFonts w:ascii="Verdana" w:hAnsi="Verdana"/>
                <w:color w:val="000000"/>
              </w:rPr>
              <w:lastRenderedPageBreak/>
              <w:t xml:space="preserve">Tourette’s disorder, &amp; irritability associated with autistic disorder </w:t>
            </w:r>
          </w:p>
        </w:tc>
        <w:tc>
          <w:tcPr>
            <w:tcW w:w="4232" w:type="dxa"/>
            <w:shd w:val="clear" w:color="auto" w:fill="auto"/>
          </w:tcPr>
          <w:p w14:paraId="761EDB1C" w14:textId="77777777" w:rsidR="00FB700B" w:rsidRPr="00135AD4" w:rsidRDefault="00FB700B" w:rsidP="00FB700B">
            <w:pPr>
              <w:rPr>
                <w:rFonts w:ascii="Verdana" w:hAnsi="Verdana"/>
              </w:rPr>
            </w:pPr>
            <w:proofErr w:type="spellStart"/>
            <w:r w:rsidRPr="00135AD4">
              <w:rPr>
                <w:rFonts w:ascii="Verdana" w:hAnsi="Verdana"/>
              </w:rPr>
              <w:lastRenderedPageBreak/>
              <w:t>Opipza</w:t>
            </w:r>
            <w:proofErr w:type="spellEnd"/>
            <w:r w:rsidRPr="00135AD4">
              <w:rPr>
                <w:rFonts w:ascii="Verdana" w:hAnsi="Verdana"/>
              </w:rPr>
              <w:t xml:space="preserve"> is a 505(b)(2) approved version of aripiprazole that is available as an oral film in 2 mg, 5 </w:t>
            </w:r>
            <w:r w:rsidRPr="00135AD4">
              <w:rPr>
                <w:rFonts w:ascii="Verdana" w:hAnsi="Verdana"/>
              </w:rPr>
              <w:lastRenderedPageBreak/>
              <w:t>mg, and 10 mg strengths. Cover tablets and ODT versions.</w:t>
            </w:r>
          </w:p>
          <w:p w14:paraId="7B28633C" w14:textId="018D1C15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5773E124" w14:textId="18C8B83C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NF: all lines of business</w:t>
            </w:r>
          </w:p>
        </w:tc>
      </w:tr>
      <w:tr w:rsidR="00FB700B" w:rsidRPr="006547A2" w14:paraId="3DEBBCBD" w14:textId="77777777" w:rsidTr="00876AB4">
        <w:tc>
          <w:tcPr>
            <w:tcW w:w="2589" w:type="dxa"/>
            <w:shd w:val="clear" w:color="auto" w:fill="auto"/>
          </w:tcPr>
          <w:p w14:paraId="1D08328A" w14:textId="13DB1D58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Danziten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(nilotinib tartrate) 71 mg &amp; 95 mg tablets for Ph+ CML </w:t>
            </w:r>
          </w:p>
        </w:tc>
        <w:tc>
          <w:tcPr>
            <w:tcW w:w="4232" w:type="dxa"/>
            <w:shd w:val="clear" w:color="auto" w:fill="auto"/>
          </w:tcPr>
          <w:p w14:paraId="580178CE" w14:textId="77777777" w:rsidR="00FB700B" w:rsidRPr="00135AD4" w:rsidRDefault="00FB700B" w:rsidP="00FB700B">
            <w:pPr>
              <w:rPr>
                <w:rFonts w:ascii="Verdana" w:hAnsi="Verdana"/>
              </w:rPr>
            </w:pPr>
            <w:proofErr w:type="spellStart"/>
            <w:r w:rsidRPr="00135AD4">
              <w:rPr>
                <w:rFonts w:ascii="Verdana" w:hAnsi="Verdana"/>
              </w:rPr>
              <w:t>Danziten</w:t>
            </w:r>
            <w:proofErr w:type="spellEnd"/>
            <w:r w:rsidRPr="00135AD4">
              <w:rPr>
                <w:rFonts w:ascii="Verdana" w:hAnsi="Verdana"/>
              </w:rPr>
              <w:t xml:space="preserve"> is a 505(b)(2) pathway-approved tartrate salt formulation of </w:t>
            </w:r>
            <w:proofErr w:type="spellStart"/>
            <w:r w:rsidRPr="00135AD4">
              <w:rPr>
                <w:rFonts w:ascii="Verdana" w:hAnsi="Verdana"/>
              </w:rPr>
              <w:t>Tasigna</w:t>
            </w:r>
            <w:proofErr w:type="spellEnd"/>
            <w:r w:rsidRPr="00135AD4">
              <w:rPr>
                <w:rFonts w:ascii="Verdana" w:hAnsi="Verdana"/>
              </w:rPr>
              <w:t xml:space="preserve"> (nilotinib). </w:t>
            </w:r>
          </w:p>
          <w:p w14:paraId="5E879233" w14:textId="14E02EDA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1200A5F7" w14:textId="4B846DBF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C0D0A18" w14:textId="77777777" w:rsidTr="00876AB4">
        <w:tc>
          <w:tcPr>
            <w:tcW w:w="2589" w:type="dxa"/>
            <w:shd w:val="clear" w:color="auto" w:fill="auto"/>
          </w:tcPr>
          <w:p w14:paraId="2FAC7839" w14:textId="32731C58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Imkeldi</w:t>
            </w:r>
            <w:proofErr w:type="spellEnd"/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135AD4">
              <w:rPr>
                <w:rFonts w:ascii="Verdana" w:hAnsi="Verdana"/>
                <w:color w:val="000000"/>
              </w:rPr>
              <w:t>(imatinib) 80 mg/mL oral solution for various cancers</w:t>
            </w:r>
          </w:p>
        </w:tc>
        <w:tc>
          <w:tcPr>
            <w:tcW w:w="4232" w:type="dxa"/>
            <w:shd w:val="clear" w:color="auto" w:fill="auto"/>
          </w:tcPr>
          <w:p w14:paraId="068CF62E" w14:textId="05131B49" w:rsidR="00FB700B" w:rsidRPr="006547A2" w:rsidRDefault="00FB700B" w:rsidP="00FB700B">
            <w:pPr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>Liquid formulation at a much higher cost than the generic 100 mg and 400 mg imatinib tablets.</w:t>
            </w:r>
          </w:p>
        </w:tc>
        <w:tc>
          <w:tcPr>
            <w:tcW w:w="4096" w:type="dxa"/>
            <w:shd w:val="clear" w:color="auto" w:fill="auto"/>
          </w:tcPr>
          <w:p w14:paraId="68CD0386" w14:textId="490A85A7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213E30D5" w14:textId="77777777" w:rsidTr="00876AB4">
        <w:tc>
          <w:tcPr>
            <w:tcW w:w="2589" w:type="dxa"/>
            <w:shd w:val="clear" w:color="auto" w:fill="auto"/>
          </w:tcPr>
          <w:p w14:paraId="43A1A4DD" w14:textId="33B6321C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135AD4">
              <w:rPr>
                <w:rFonts w:ascii="Verdana" w:hAnsi="Verdana"/>
                <w:b/>
                <w:bCs/>
                <w:color w:val="000000"/>
              </w:rPr>
              <w:t>Labetalol</w:t>
            </w:r>
            <w:r w:rsidRPr="00135AD4">
              <w:rPr>
                <w:rFonts w:ascii="Verdana" w:hAnsi="Verdana"/>
                <w:color w:val="000000"/>
              </w:rPr>
              <w:t xml:space="preserve"> 400 mg tablet for hypertension</w:t>
            </w:r>
          </w:p>
        </w:tc>
        <w:tc>
          <w:tcPr>
            <w:tcW w:w="4232" w:type="dxa"/>
            <w:shd w:val="clear" w:color="auto" w:fill="auto"/>
          </w:tcPr>
          <w:p w14:paraId="6FAD18DC" w14:textId="77777777" w:rsidR="00FB700B" w:rsidRPr="00135AD4" w:rsidRDefault="00FB700B" w:rsidP="00FB700B">
            <w:pPr>
              <w:tabs>
                <w:tab w:val="left" w:pos="930"/>
              </w:tabs>
              <w:rPr>
                <w:rFonts w:ascii="Verdana" w:hAnsi="Verdana"/>
              </w:rPr>
            </w:pPr>
            <w:r w:rsidRPr="00135AD4">
              <w:rPr>
                <w:rFonts w:ascii="Verdana" w:hAnsi="Verdana"/>
              </w:rPr>
              <w:t>New strength at ~4x the cost of 200mg tablets</w:t>
            </w:r>
          </w:p>
          <w:p w14:paraId="2B3E8E4C" w14:textId="46EF0840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5E9FB511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19E5D58D" w14:textId="36AA5662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PDL: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3F73FA08" w14:textId="77777777" w:rsidTr="00876AB4">
        <w:tc>
          <w:tcPr>
            <w:tcW w:w="2589" w:type="dxa"/>
            <w:shd w:val="clear" w:color="auto" w:fill="auto"/>
          </w:tcPr>
          <w:p w14:paraId="74C27BEC" w14:textId="7C47A2A6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Qlosi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(pilocarpine) 0.4% ophthalmic solution for presbyopia</w:t>
            </w:r>
          </w:p>
        </w:tc>
        <w:tc>
          <w:tcPr>
            <w:tcW w:w="4232" w:type="dxa"/>
            <w:shd w:val="clear" w:color="auto" w:fill="auto"/>
          </w:tcPr>
          <w:p w14:paraId="641902AB" w14:textId="6337C37F" w:rsidR="00FB700B" w:rsidRPr="006547A2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 xml:space="preserve">A new strength of pilocarpine (0.4%) indicated for presbyopia (inability to focus sight on near objects) has launched. </w:t>
            </w:r>
          </w:p>
        </w:tc>
        <w:tc>
          <w:tcPr>
            <w:tcW w:w="4096" w:type="dxa"/>
            <w:shd w:val="clear" w:color="auto" w:fill="auto"/>
          </w:tcPr>
          <w:p w14:paraId="2E8856BA" w14:textId="6D53CF74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2071E5F" w14:textId="77777777" w:rsidTr="00876AB4">
        <w:tc>
          <w:tcPr>
            <w:tcW w:w="2589" w:type="dxa"/>
            <w:shd w:val="clear" w:color="auto" w:fill="auto"/>
          </w:tcPr>
          <w:p w14:paraId="7829FC68" w14:textId="434A79B2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Bimzelx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135AD4">
              <w:rPr>
                <w:rFonts w:ascii="Verdana" w:hAnsi="Verdana"/>
                <w:color w:val="000000"/>
              </w:rPr>
              <w:t>bimekizumab</w:t>
            </w:r>
            <w:proofErr w:type="spellEnd"/>
            <w:r w:rsidRPr="00135AD4">
              <w:rPr>
                <w:rFonts w:ascii="Verdana" w:hAnsi="Verdana"/>
                <w:color w:val="000000"/>
              </w:rPr>
              <w:t>) 320 mg/2 mL prefilled syringe &amp; auto-injector for plaque psoriasis &amp; hidradenitis suppurativa</w:t>
            </w:r>
          </w:p>
        </w:tc>
        <w:tc>
          <w:tcPr>
            <w:tcW w:w="4232" w:type="dxa"/>
            <w:shd w:val="clear" w:color="auto" w:fill="auto"/>
          </w:tcPr>
          <w:p w14:paraId="1B2B7284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 xml:space="preserve">A new 320 mg strength launched for </w:t>
            </w:r>
            <w:proofErr w:type="spellStart"/>
            <w:r w:rsidRPr="005653E7">
              <w:rPr>
                <w:rFonts w:ascii="Verdana" w:hAnsi="Verdana"/>
              </w:rPr>
              <w:t>bimekizumab</w:t>
            </w:r>
            <w:proofErr w:type="spellEnd"/>
          </w:p>
          <w:p w14:paraId="7DC522E1" w14:textId="628B9E2E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CD4E50D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PPO, IFP</w:t>
            </w:r>
          </w:p>
          <w:p w14:paraId="0ED810BF" w14:textId="5F5746C0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NP: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441BB526" w14:textId="77777777" w:rsidTr="00876AB4">
        <w:tc>
          <w:tcPr>
            <w:tcW w:w="2589" w:type="dxa"/>
            <w:shd w:val="clear" w:color="auto" w:fill="auto"/>
          </w:tcPr>
          <w:p w14:paraId="2B9C35FC" w14:textId="72740809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Erzofri</w:t>
            </w:r>
            <w:proofErr w:type="spellEnd"/>
            <w:r w:rsidRPr="00135AD4"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135AD4">
              <w:rPr>
                <w:rFonts w:ascii="Verdana" w:hAnsi="Verdana"/>
                <w:color w:val="000000"/>
              </w:rPr>
              <w:t>(paliperidone pamoate) ER suspension prefilled syringes for schizophrenia</w:t>
            </w:r>
          </w:p>
        </w:tc>
        <w:tc>
          <w:tcPr>
            <w:tcW w:w="4232" w:type="dxa"/>
            <w:shd w:val="clear" w:color="auto" w:fill="auto"/>
          </w:tcPr>
          <w:p w14:paraId="686539D4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 xml:space="preserve">New paliperidone palmitate ER prefilled syringes. Invega </w:t>
            </w:r>
            <w:proofErr w:type="spellStart"/>
            <w:r w:rsidRPr="005653E7">
              <w:rPr>
                <w:rFonts w:ascii="Verdana" w:hAnsi="Verdana"/>
              </w:rPr>
              <w:t>Sustenna</w:t>
            </w:r>
            <w:proofErr w:type="spellEnd"/>
            <w:r w:rsidRPr="005653E7">
              <w:rPr>
                <w:rFonts w:ascii="Verdana" w:hAnsi="Verdana"/>
              </w:rPr>
              <w:t xml:space="preserve"> is covered</w:t>
            </w:r>
          </w:p>
          <w:p w14:paraId="22CFD938" w14:textId="4BF0FDBF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1ACCF690" w14:textId="0E685DE6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602D44F3" w14:textId="77777777" w:rsidTr="00876AB4">
        <w:tc>
          <w:tcPr>
            <w:tcW w:w="2589" w:type="dxa"/>
            <w:shd w:val="clear" w:color="auto" w:fill="auto"/>
          </w:tcPr>
          <w:p w14:paraId="54E6F8E6" w14:textId="77777777" w:rsidR="00FB700B" w:rsidRPr="00135AD4" w:rsidRDefault="00FB700B" w:rsidP="00FB700B">
            <w:pPr>
              <w:rPr>
                <w:rFonts w:ascii="Verdana" w:hAnsi="Verdana"/>
                <w:color w:val="000000"/>
              </w:rPr>
            </w:pPr>
            <w:r w:rsidRPr="00135AD4">
              <w:rPr>
                <w:rFonts w:ascii="Verdana" w:hAnsi="Verdana"/>
                <w:b/>
                <w:bCs/>
                <w:color w:val="000000"/>
              </w:rPr>
              <w:t>Methotrexate</w:t>
            </w:r>
            <w:r w:rsidRPr="00135AD4">
              <w:rPr>
                <w:rFonts w:ascii="Verdana" w:hAnsi="Verdana"/>
                <w:color w:val="000000"/>
              </w:rPr>
              <w:t xml:space="preserve"> 100 mg/40 mL IV solution for autoimmune &amp;</w:t>
            </w:r>
          </w:p>
          <w:p w14:paraId="37AD2500" w14:textId="3BE7802C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135AD4">
              <w:rPr>
                <w:rFonts w:ascii="Verdana" w:hAnsi="Verdana"/>
                <w:color w:val="000000"/>
              </w:rPr>
              <w:t>inflammatory disorders</w:t>
            </w:r>
          </w:p>
        </w:tc>
        <w:tc>
          <w:tcPr>
            <w:tcW w:w="4232" w:type="dxa"/>
            <w:shd w:val="clear" w:color="auto" w:fill="auto"/>
          </w:tcPr>
          <w:p w14:paraId="3B2CF20C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>New IV formulation that can be used orally</w:t>
            </w:r>
          </w:p>
          <w:p w14:paraId="0871309E" w14:textId="26110B3C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7962D90A" w14:textId="464E9CF0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413C099F" w14:textId="77777777" w:rsidTr="00876AB4">
        <w:tc>
          <w:tcPr>
            <w:tcW w:w="2589" w:type="dxa"/>
            <w:shd w:val="clear" w:color="auto" w:fill="auto"/>
          </w:tcPr>
          <w:p w14:paraId="7E52A175" w14:textId="50E77037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135AD4">
              <w:rPr>
                <w:rFonts w:ascii="Verdana" w:hAnsi="Verdana"/>
                <w:b/>
                <w:bCs/>
                <w:color w:val="000000"/>
              </w:rPr>
              <w:t>Gabarone</w:t>
            </w:r>
            <w:proofErr w:type="spellEnd"/>
            <w:r w:rsidRPr="00135AD4">
              <w:rPr>
                <w:rFonts w:ascii="Verdana" w:hAnsi="Verdana"/>
                <w:color w:val="000000"/>
              </w:rPr>
              <w:t xml:space="preserve"> (gabapentin) 100 mg &amp; 400 mg tablets for seizures and postherpetic neuralgia</w:t>
            </w:r>
          </w:p>
        </w:tc>
        <w:tc>
          <w:tcPr>
            <w:tcW w:w="4232" w:type="dxa"/>
            <w:shd w:val="clear" w:color="auto" w:fill="auto"/>
          </w:tcPr>
          <w:p w14:paraId="4308F632" w14:textId="59C8BD54" w:rsidR="00FB700B" w:rsidRPr="006547A2" w:rsidRDefault="00FB700B" w:rsidP="00FB700B">
            <w:pPr>
              <w:rPr>
                <w:rFonts w:ascii="Verdana" w:hAnsi="Verdana"/>
              </w:rPr>
            </w:pPr>
            <w:proofErr w:type="spellStart"/>
            <w:r w:rsidRPr="005653E7">
              <w:rPr>
                <w:rFonts w:ascii="Verdana" w:hAnsi="Verdana"/>
              </w:rPr>
              <w:t>Gabarone</w:t>
            </w:r>
            <w:proofErr w:type="spellEnd"/>
            <w:r w:rsidRPr="005653E7">
              <w:rPr>
                <w:rFonts w:ascii="Verdana" w:hAnsi="Verdana"/>
              </w:rPr>
              <w:t xml:space="preserve"> is a recently launched branded gabapentin product. </w:t>
            </w:r>
            <w:proofErr w:type="spellStart"/>
            <w:r w:rsidRPr="005653E7">
              <w:rPr>
                <w:rFonts w:ascii="Verdana" w:hAnsi="Verdana"/>
              </w:rPr>
              <w:t>Gabarone</w:t>
            </w:r>
            <w:proofErr w:type="spellEnd"/>
            <w:r w:rsidRPr="005653E7">
              <w:rPr>
                <w:rFonts w:ascii="Verdana" w:hAnsi="Verdana"/>
              </w:rPr>
              <w:t xml:space="preserve"> has a higher price vs generically available gabapentin </w:t>
            </w:r>
            <w:proofErr w:type="gramStart"/>
            <w:r w:rsidRPr="005653E7">
              <w:rPr>
                <w:rFonts w:ascii="Verdana" w:hAnsi="Verdana"/>
              </w:rPr>
              <w:t>capsules</w:t>
            </w:r>
            <w:proofErr w:type="gramEnd"/>
            <w:r w:rsidRPr="005653E7">
              <w:rPr>
                <w:rFonts w:ascii="Verdana" w:hAnsi="Verdana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14:paraId="49D9BD32" w14:textId="05142712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9B63FA6" w14:textId="77777777" w:rsidTr="00876AB4">
        <w:tc>
          <w:tcPr>
            <w:tcW w:w="2589" w:type="dxa"/>
            <w:shd w:val="clear" w:color="auto" w:fill="auto"/>
          </w:tcPr>
          <w:p w14:paraId="712B9210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5653E7">
              <w:rPr>
                <w:rFonts w:ascii="Verdana" w:hAnsi="Verdana"/>
                <w:b/>
                <w:bCs/>
                <w:color w:val="000000"/>
              </w:rPr>
              <w:t>Jivi</w:t>
            </w:r>
            <w:proofErr w:type="spellEnd"/>
            <w:r w:rsidRPr="005653E7">
              <w:rPr>
                <w:rFonts w:ascii="Verdana" w:hAnsi="Verdana"/>
                <w:color w:val="000000"/>
              </w:rPr>
              <w:t xml:space="preserve"> (recombinant antihemophilic</w:t>
            </w:r>
          </w:p>
          <w:p w14:paraId="399946F3" w14:textId="2F8F5651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5653E7">
              <w:rPr>
                <w:rFonts w:ascii="Verdana" w:hAnsi="Verdana"/>
                <w:color w:val="000000"/>
              </w:rPr>
              <w:lastRenderedPageBreak/>
              <w:t>factor, pegylated-</w:t>
            </w:r>
            <w:proofErr w:type="spellStart"/>
            <w:r w:rsidRPr="005653E7">
              <w:rPr>
                <w:rFonts w:ascii="Verdana" w:hAnsi="Verdana"/>
                <w:color w:val="000000"/>
              </w:rPr>
              <w:t>aucl</w:t>
            </w:r>
            <w:proofErr w:type="spellEnd"/>
            <w:r w:rsidRPr="005653E7">
              <w:rPr>
                <w:rFonts w:ascii="Verdana" w:hAnsi="Verdana"/>
                <w:color w:val="000000"/>
              </w:rPr>
              <w:t xml:space="preserve">) </w:t>
            </w:r>
            <w:proofErr w:type="gramStart"/>
            <w:r w:rsidRPr="005653E7">
              <w:rPr>
                <w:rFonts w:ascii="Verdana" w:hAnsi="Verdana"/>
                <w:color w:val="000000"/>
              </w:rPr>
              <w:t>4000 unit IV</w:t>
            </w:r>
            <w:proofErr w:type="gramEnd"/>
            <w:r w:rsidRPr="005653E7">
              <w:rPr>
                <w:rFonts w:ascii="Verdana" w:hAnsi="Verdana"/>
                <w:color w:val="000000"/>
              </w:rPr>
              <w:t xml:space="preserve"> vials for hemophilia A</w:t>
            </w:r>
          </w:p>
        </w:tc>
        <w:tc>
          <w:tcPr>
            <w:tcW w:w="4232" w:type="dxa"/>
            <w:shd w:val="clear" w:color="auto" w:fill="auto"/>
          </w:tcPr>
          <w:p w14:paraId="28EF277C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lastRenderedPageBreak/>
              <w:t>New strength</w:t>
            </w:r>
          </w:p>
          <w:p w14:paraId="4843AD2C" w14:textId="35C4D956" w:rsidR="00FB700B" w:rsidRPr="006547A2" w:rsidRDefault="00FB700B" w:rsidP="00FB700B">
            <w:pPr>
              <w:tabs>
                <w:tab w:val="left" w:pos="1125"/>
              </w:tabs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757431B" w14:textId="79CA9384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5CB11D2F" w14:textId="77777777" w:rsidTr="00876AB4">
        <w:tc>
          <w:tcPr>
            <w:tcW w:w="2589" w:type="dxa"/>
            <w:shd w:val="clear" w:color="auto" w:fill="auto"/>
          </w:tcPr>
          <w:p w14:paraId="1856FB8F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5653E7">
              <w:rPr>
                <w:rFonts w:ascii="Verdana" w:hAnsi="Verdana"/>
                <w:b/>
                <w:bCs/>
                <w:color w:val="000000"/>
              </w:rPr>
              <w:t>Esperoct</w:t>
            </w:r>
            <w:proofErr w:type="spellEnd"/>
            <w:r w:rsidRPr="005653E7">
              <w:rPr>
                <w:rFonts w:ascii="Verdana" w:hAnsi="Verdana"/>
                <w:color w:val="000000"/>
              </w:rPr>
              <w:t xml:space="preserve"> (recombinant</w:t>
            </w:r>
          </w:p>
          <w:p w14:paraId="5BFD628E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r w:rsidRPr="005653E7">
              <w:rPr>
                <w:rFonts w:ascii="Verdana" w:hAnsi="Verdana"/>
                <w:color w:val="000000"/>
              </w:rPr>
              <w:t>antihemophilic factor,</w:t>
            </w:r>
          </w:p>
          <w:p w14:paraId="716722D9" w14:textId="22BAD7FA" w:rsidR="00FB700B" w:rsidRPr="006547A2" w:rsidRDefault="00FB700B" w:rsidP="00FB700B">
            <w:pPr>
              <w:rPr>
                <w:rFonts w:ascii="Verdana" w:hAnsi="Verdana" w:cs="Arial"/>
              </w:rPr>
            </w:pPr>
            <w:proofErr w:type="spellStart"/>
            <w:r w:rsidRPr="005653E7">
              <w:rPr>
                <w:rFonts w:ascii="Verdana" w:hAnsi="Verdana"/>
                <w:color w:val="000000"/>
              </w:rPr>
              <w:t>glycopegylated-exei</w:t>
            </w:r>
            <w:proofErr w:type="spellEnd"/>
            <w:r w:rsidRPr="005653E7">
              <w:rPr>
                <w:rFonts w:ascii="Verdana" w:hAnsi="Verdana"/>
                <w:color w:val="000000"/>
              </w:rPr>
              <w:t xml:space="preserve">) </w:t>
            </w:r>
            <w:proofErr w:type="gramStart"/>
            <w:r w:rsidRPr="005653E7">
              <w:rPr>
                <w:rFonts w:ascii="Verdana" w:hAnsi="Verdana"/>
                <w:color w:val="000000"/>
              </w:rPr>
              <w:t>4000 unit IV</w:t>
            </w:r>
            <w:proofErr w:type="gramEnd"/>
            <w:r w:rsidRPr="005653E7">
              <w:rPr>
                <w:rFonts w:ascii="Verdana" w:hAnsi="Verdana"/>
                <w:color w:val="000000"/>
              </w:rPr>
              <w:t xml:space="preserve"> vials for hemophilia A</w:t>
            </w:r>
          </w:p>
        </w:tc>
        <w:tc>
          <w:tcPr>
            <w:tcW w:w="4232" w:type="dxa"/>
            <w:shd w:val="clear" w:color="auto" w:fill="auto"/>
          </w:tcPr>
          <w:p w14:paraId="74FC44FE" w14:textId="77777777" w:rsidR="00FB700B" w:rsidRPr="005653E7" w:rsidRDefault="00FB700B" w:rsidP="00FB700B">
            <w:pPr>
              <w:tabs>
                <w:tab w:val="left" w:pos="1125"/>
              </w:tabs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 xml:space="preserve">A new strength vial of </w:t>
            </w:r>
            <w:proofErr w:type="spellStart"/>
            <w:r w:rsidRPr="005653E7">
              <w:rPr>
                <w:rFonts w:ascii="Verdana" w:hAnsi="Verdana"/>
              </w:rPr>
              <w:t>Esperoct</w:t>
            </w:r>
            <w:proofErr w:type="spellEnd"/>
            <w:r w:rsidRPr="005653E7">
              <w:rPr>
                <w:rFonts w:ascii="Verdana" w:hAnsi="Verdana"/>
              </w:rPr>
              <w:t xml:space="preserve"> has recently launched.</w:t>
            </w:r>
          </w:p>
          <w:p w14:paraId="1CB0E0D6" w14:textId="7A25D67F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0CEFC6CD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IFP</w:t>
            </w:r>
          </w:p>
          <w:p w14:paraId="65AA6A22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Medicare, PPO</w:t>
            </w:r>
          </w:p>
          <w:p w14:paraId="48AE2AEA" w14:textId="2D96EE6E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PDL: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0A75C191" w14:textId="77777777" w:rsidTr="00876AB4">
        <w:tc>
          <w:tcPr>
            <w:tcW w:w="2589" w:type="dxa"/>
            <w:shd w:val="clear" w:color="auto" w:fill="auto"/>
          </w:tcPr>
          <w:p w14:paraId="0C5566BE" w14:textId="53B3EC0D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5653E7">
              <w:rPr>
                <w:rFonts w:ascii="Verdana" w:hAnsi="Verdana"/>
                <w:b/>
                <w:bCs/>
                <w:color w:val="000000"/>
                <w:lang w:val="nb-NO"/>
              </w:rPr>
              <w:t>Metformin</w:t>
            </w:r>
            <w:r w:rsidRPr="005653E7">
              <w:rPr>
                <w:rFonts w:ascii="Verdana" w:hAnsi="Verdana"/>
                <w:color w:val="000000"/>
                <w:lang w:val="nb-NO"/>
              </w:rPr>
              <w:t xml:space="preserve"> 750 mg tablet for type 2 diabetes</w:t>
            </w:r>
          </w:p>
        </w:tc>
        <w:tc>
          <w:tcPr>
            <w:tcW w:w="4232" w:type="dxa"/>
            <w:shd w:val="clear" w:color="auto" w:fill="auto"/>
          </w:tcPr>
          <w:p w14:paraId="38738125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>New strength with WAC of $61.11/tablet</w:t>
            </w:r>
          </w:p>
          <w:p w14:paraId="43533675" w14:textId="3D867BB4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A5CF026" w14:textId="422E3ACA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5063ADA6" w14:textId="77777777" w:rsidTr="00876AB4">
        <w:tc>
          <w:tcPr>
            <w:tcW w:w="2589" w:type="dxa"/>
            <w:shd w:val="clear" w:color="auto" w:fill="auto"/>
          </w:tcPr>
          <w:p w14:paraId="029222C4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r w:rsidRPr="005653E7">
              <w:rPr>
                <w:rFonts w:ascii="Verdana" w:hAnsi="Verdana"/>
                <w:b/>
                <w:bCs/>
                <w:color w:val="000000"/>
              </w:rPr>
              <w:t>Topiramate</w:t>
            </w:r>
            <w:r w:rsidRPr="005653E7">
              <w:rPr>
                <w:rFonts w:ascii="Verdana" w:hAnsi="Verdana"/>
                <w:color w:val="000000"/>
              </w:rPr>
              <w:t xml:space="preserve"> 50 mg sprinkle</w:t>
            </w:r>
          </w:p>
          <w:p w14:paraId="53B4598E" w14:textId="3B4C6257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5653E7">
              <w:rPr>
                <w:rFonts w:ascii="Verdana" w:hAnsi="Verdana"/>
                <w:color w:val="000000"/>
              </w:rPr>
              <w:t>capsule for seizures &amp; migraine</w:t>
            </w:r>
          </w:p>
        </w:tc>
        <w:tc>
          <w:tcPr>
            <w:tcW w:w="4232" w:type="dxa"/>
            <w:shd w:val="clear" w:color="auto" w:fill="auto"/>
          </w:tcPr>
          <w:p w14:paraId="48DC7E84" w14:textId="7C6572BB" w:rsidR="00FB700B" w:rsidRPr="006547A2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>A new branded 50 mg topiramate sprinkle capsule launched, previously generically available as 15 mg and 25 mg sprinkle capsules. WAC is 5x higher than other strengths</w:t>
            </w:r>
          </w:p>
        </w:tc>
        <w:tc>
          <w:tcPr>
            <w:tcW w:w="4096" w:type="dxa"/>
            <w:shd w:val="clear" w:color="auto" w:fill="auto"/>
          </w:tcPr>
          <w:p w14:paraId="5AEF5995" w14:textId="77777777" w:rsidR="00FB700B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Medicare, PPO, IFP</w:t>
            </w:r>
          </w:p>
          <w:p w14:paraId="4DEE774D" w14:textId="199CF52D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PDL: </w:t>
            </w:r>
            <w:r w:rsidR="00854C16">
              <w:rPr>
                <w:rFonts w:ascii="Verdana" w:hAnsi="Verdana"/>
              </w:rPr>
              <w:t>Medical Assistance</w:t>
            </w:r>
          </w:p>
        </w:tc>
      </w:tr>
      <w:tr w:rsidR="00FB700B" w:rsidRPr="006547A2" w14:paraId="64848D22" w14:textId="77777777" w:rsidTr="00876AB4">
        <w:tc>
          <w:tcPr>
            <w:tcW w:w="2589" w:type="dxa"/>
            <w:shd w:val="clear" w:color="auto" w:fill="auto"/>
          </w:tcPr>
          <w:p w14:paraId="38F53992" w14:textId="31F5AE02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5653E7">
              <w:rPr>
                <w:rFonts w:ascii="Verdana" w:hAnsi="Verdana"/>
                <w:b/>
                <w:bCs/>
                <w:color w:val="000000"/>
              </w:rPr>
              <w:t>Amantadine</w:t>
            </w:r>
            <w:r w:rsidRPr="005653E7">
              <w:rPr>
                <w:rFonts w:ascii="Verdana" w:hAnsi="Verdana"/>
                <w:color w:val="000000"/>
              </w:rPr>
              <w:t xml:space="preserve"> 50 mg/5 mL &amp; 100mg/10 mL oral solution for influenza A, Parkinson’s disease, &amp; drug-induced extrapyramidal reactions</w:t>
            </w:r>
          </w:p>
        </w:tc>
        <w:tc>
          <w:tcPr>
            <w:tcW w:w="4232" w:type="dxa"/>
            <w:shd w:val="clear" w:color="auto" w:fill="auto"/>
          </w:tcPr>
          <w:p w14:paraId="39214B08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>An additional NDC for 50 mg/5 mL oral solution of amantadine recently launched</w:t>
            </w:r>
          </w:p>
          <w:p w14:paraId="32AE7B1E" w14:textId="3AD07A80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AB60902" w14:textId="4D48569C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F: all lines of business</w:t>
            </w:r>
          </w:p>
        </w:tc>
      </w:tr>
      <w:tr w:rsidR="00FB700B" w:rsidRPr="006547A2" w14:paraId="4133C6BE" w14:textId="77777777" w:rsidTr="00876AB4">
        <w:tc>
          <w:tcPr>
            <w:tcW w:w="2589" w:type="dxa"/>
            <w:shd w:val="clear" w:color="auto" w:fill="auto"/>
          </w:tcPr>
          <w:p w14:paraId="6B2F7D4E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r w:rsidRPr="005653E7">
              <w:rPr>
                <w:rFonts w:ascii="Verdana" w:hAnsi="Verdana"/>
                <w:b/>
                <w:bCs/>
                <w:color w:val="000000"/>
                <w:lang w:val="nb-NO"/>
              </w:rPr>
              <w:t>Fenopron</w:t>
            </w:r>
            <w:r w:rsidRPr="005653E7">
              <w:rPr>
                <w:rFonts w:ascii="Verdana" w:hAnsi="Verdana"/>
                <w:color w:val="000000"/>
                <w:lang w:val="nb-NO"/>
              </w:rPr>
              <w:t xml:space="preserve"> (fenoprofen) 300 mg</w:t>
            </w:r>
          </w:p>
          <w:p w14:paraId="63D05C63" w14:textId="17E702FD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5653E7">
              <w:rPr>
                <w:rFonts w:ascii="Verdana" w:hAnsi="Verdana"/>
                <w:color w:val="000000"/>
                <w:lang w:val="nb-NO"/>
              </w:rPr>
              <w:t>capsule for pain</w:t>
            </w:r>
          </w:p>
        </w:tc>
        <w:tc>
          <w:tcPr>
            <w:tcW w:w="4232" w:type="dxa"/>
            <w:shd w:val="clear" w:color="auto" w:fill="auto"/>
          </w:tcPr>
          <w:p w14:paraId="146A5BE2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 xml:space="preserve">New branded </w:t>
            </w:r>
            <w:proofErr w:type="spellStart"/>
            <w:r w:rsidRPr="005653E7">
              <w:rPr>
                <w:rFonts w:ascii="Verdana" w:hAnsi="Verdana"/>
              </w:rPr>
              <w:t>fenoprofen</w:t>
            </w:r>
            <w:proofErr w:type="spellEnd"/>
          </w:p>
          <w:p w14:paraId="4B751C67" w14:textId="53D0F792" w:rsidR="00FB700B" w:rsidRPr="006547A2" w:rsidRDefault="00FB700B" w:rsidP="00FB700B">
            <w:pPr>
              <w:rPr>
                <w:rFonts w:ascii="Verdana" w:hAnsi="Verdana"/>
              </w:rPr>
            </w:pPr>
          </w:p>
        </w:tc>
        <w:tc>
          <w:tcPr>
            <w:tcW w:w="4096" w:type="dxa"/>
            <w:shd w:val="clear" w:color="auto" w:fill="auto"/>
          </w:tcPr>
          <w:p w14:paraId="66CF7E79" w14:textId="4F53BAE0" w:rsidR="00FB700B" w:rsidRPr="006547A2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  <w:tr w:rsidR="00FB700B" w:rsidRPr="006547A2" w14:paraId="1EA87370" w14:textId="77777777" w:rsidTr="00876AB4">
        <w:tc>
          <w:tcPr>
            <w:tcW w:w="2589" w:type="dxa"/>
            <w:shd w:val="clear" w:color="auto" w:fill="auto"/>
          </w:tcPr>
          <w:p w14:paraId="5A35120B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proofErr w:type="spellStart"/>
            <w:r w:rsidRPr="005653E7">
              <w:rPr>
                <w:rFonts w:ascii="Verdana" w:hAnsi="Verdana"/>
                <w:b/>
                <w:bCs/>
                <w:color w:val="000000"/>
              </w:rPr>
              <w:t>Prevymis</w:t>
            </w:r>
            <w:proofErr w:type="spellEnd"/>
            <w:r w:rsidRPr="005653E7"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Pr="005653E7">
              <w:rPr>
                <w:rFonts w:ascii="Verdana" w:hAnsi="Verdana"/>
                <w:color w:val="000000"/>
              </w:rPr>
              <w:t>letermovir</w:t>
            </w:r>
            <w:proofErr w:type="spellEnd"/>
            <w:r w:rsidRPr="005653E7">
              <w:rPr>
                <w:rFonts w:ascii="Verdana" w:hAnsi="Verdana"/>
                <w:color w:val="000000"/>
              </w:rPr>
              <w:t>) 20 mg &amp;</w:t>
            </w:r>
          </w:p>
          <w:p w14:paraId="410214B3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r w:rsidRPr="005653E7">
              <w:rPr>
                <w:rFonts w:ascii="Verdana" w:hAnsi="Verdana"/>
                <w:color w:val="000000"/>
              </w:rPr>
              <w:t>120 mg pellet packs for CMV</w:t>
            </w:r>
          </w:p>
          <w:p w14:paraId="23890079" w14:textId="07E0F5AA" w:rsidR="00FB700B" w:rsidRPr="006547A2" w:rsidRDefault="00FB700B" w:rsidP="00FB700B">
            <w:pPr>
              <w:rPr>
                <w:rFonts w:ascii="Verdana" w:hAnsi="Verdana" w:cs="Arial"/>
              </w:rPr>
            </w:pPr>
            <w:r w:rsidRPr="005653E7">
              <w:rPr>
                <w:rFonts w:ascii="Verdana" w:hAnsi="Verdana"/>
                <w:color w:val="000000"/>
              </w:rPr>
              <w:t>prophylaxis</w:t>
            </w:r>
          </w:p>
        </w:tc>
        <w:tc>
          <w:tcPr>
            <w:tcW w:w="4232" w:type="dxa"/>
            <w:shd w:val="clear" w:color="auto" w:fill="auto"/>
          </w:tcPr>
          <w:p w14:paraId="59E3D894" w14:textId="5C3D3E0B" w:rsidR="00FB700B" w:rsidRPr="006547A2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 xml:space="preserve">Oral pellet packets containing 20 mg or 120 mg of </w:t>
            </w:r>
            <w:proofErr w:type="spellStart"/>
            <w:r w:rsidRPr="005653E7">
              <w:rPr>
                <w:rFonts w:ascii="Verdana" w:hAnsi="Verdana"/>
              </w:rPr>
              <w:t>letermovir</w:t>
            </w:r>
            <w:proofErr w:type="spellEnd"/>
            <w:r w:rsidRPr="005653E7">
              <w:rPr>
                <w:rFonts w:ascii="Verdana" w:hAnsi="Verdana"/>
              </w:rPr>
              <w:t xml:space="preserve"> per packet have launched, following the recently reported pediatric age expansion. </w:t>
            </w:r>
          </w:p>
        </w:tc>
        <w:tc>
          <w:tcPr>
            <w:tcW w:w="4096" w:type="dxa"/>
            <w:shd w:val="clear" w:color="auto" w:fill="auto"/>
          </w:tcPr>
          <w:p w14:paraId="34820A2F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>120mg: F all lines of business</w:t>
            </w:r>
          </w:p>
          <w:p w14:paraId="7BCD6CE9" w14:textId="77777777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>20mg: NF: Med</w:t>
            </w:r>
            <w:r>
              <w:rPr>
                <w:rFonts w:ascii="Verdana" w:hAnsi="Verdana"/>
              </w:rPr>
              <w:t>icare</w:t>
            </w:r>
            <w:r w:rsidRPr="005653E7">
              <w:rPr>
                <w:rFonts w:ascii="Verdana" w:hAnsi="Verdana"/>
              </w:rPr>
              <w:t>, PPO</w:t>
            </w:r>
          </w:p>
          <w:p w14:paraId="12D81D8F" w14:textId="1C003BC0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 xml:space="preserve">F: IFP, </w:t>
            </w:r>
            <w:r w:rsidR="00854C16">
              <w:rPr>
                <w:rFonts w:ascii="Verdana" w:hAnsi="Verdana"/>
              </w:rPr>
              <w:t>Medical Assistance</w:t>
            </w:r>
          </w:p>
          <w:p w14:paraId="14F88F91" w14:textId="0F4B0A87" w:rsidR="00FB700B" w:rsidRPr="006547A2" w:rsidRDefault="00FB700B" w:rsidP="00FB700B">
            <w:pPr>
              <w:rPr>
                <w:rFonts w:ascii="Verdana" w:hAnsi="Verdana"/>
              </w:rPr>
            </w:pPr>
          </w:p>
        </w:tc>
      </w:tr>
      <w:tr w:rsidR="00FB700B" w:rsidRPr="006547A2" w14:paraId="66A551E5" w14:textId="77777777" w:rsidTr="00876AB4">
        <w:tc>
          <w:tcPr>
            <w:tcW w:w="2589" w:type="dxa"/>
            <w:shd w:val="clear" w:color="auto" w:fill="auto"/>
          </w:tcPr>
          <w:p w14:paraId="7DA2E5D9" w14:textId="77777777" w:rsidR="00FB700B" w:rsidRPr="005653E7" w:rsidRDefault="00FB700B" w:rsidP="00FB700B">
            <w:pPr>
              <w:rPr>
                <w:rFonts w:ascii="Verdana" w:hAnsi="Verdana"/>
                <w:color w:val="000000"/>
              </w:rPr>
            </w:pPr>
            <w:r w:rsidRPr="005653E7">
              <w:rPr>
                <w:rFonts w:ascii="Verdana" w:hAnsi="Verdana"/>
                <w:b/>
                <w:bCs/>
                <w:color w:val="000000"/>
              </w:rPr>
              <w:t>Metronidazole</w:t>
            </w:r>
            <w:r w:rsidRPr="005653E7">
              <w:rPr>
                <w:rFonts w:ascii="Verdana" w:hAnsi="Verdana"/>
                <w:color w:val="000000"/>
              </w:rPr>
              <w:t xml:space="preserve"> 125 mg tablet to treat infections</w:t>
            </w:r>
          </w:p>
          <w:p w14:paraId="6771534E" w14:textId="77777777" w:rsidR="00FB700B" w:rsidRPr="005653E7" w:rsidRDefault="00FB700B" w:rsidP="00FB700B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4232" w:type="dxa"/>
            <w:shd w:val="clear" w:color="auto" w:fill="auto"/>
          </w:tcPr>
          <w:p w14:paraId="0195B6E0" w14:textId="6D58C132" w:rsidR="00FB700B" w:rsidRPr="005653E7" w:rsidRDefault="00FB700B" w:rsidP="00FB700B">
            <w:pPr>
              <w:rPr>
                <w:rFonts w:ascii="Verdana" w:hAnsi="Verdana"/>
              </w:rPr>
            </w:pPr>
            <w:r w:rsidRPr="005653E7">
              <w:rPr>
                <w:rFonts w:ascii="Verdana" w:hAnsi="Verdana"/>
              </w:rPr>
              <w:t>A new 125 mg strength tablet at over 100x the cost per mg compared to alternative tablet strengths.</w:t>
            </w:r>
          </w:p>
        </w:tc>
        <w:tc>
          <w:tcPr>
            <w:tcW w:w="4096" w:type="dxa"/>
            <w:shd w:val="clear" w:color="auto" w:fill="auto"/>
          </w:tcPr>
          <w:p w14:paraId="67955330" w14:textId="00F895AD" w:rsidR="00FB700B" w:rsidRPr="005653E7" w:rsidRDefault="00FB700B" w:rsidP="00FB70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NF: all lines of business</w:t>
            </w:r>
          </w:p>
        </w:tc>
      </w:tr>
    </w:tbl>
    <w:p w14:paraId="36A9C293" w14:textId="77777777" w:rsidR="00255A16" w:rsidRPr="00852F8C" w:rsidRDefault="00255A16" w:rsidP="00E32DDA">
      <w:pPr>
        <w:rPr>
          <w:rFonts w:ascii="Verdana" w:eastAsia="Times New Roman" w:hAnsi="Verdana" w:cs="Arial"/>
          <w:b/>
          <w:sz w:val="20"/>
          <w:szCs w:val="20"/>
        </w:rPr>
      </w:pPr>
    </w:p>
    <w:tbl>
      <w:tblPr>
        <w:tblStyle w:val="LightList-Accent5"/>
        <w:tblW w:w="10890" w:type="dxa"/>
        <w:tblInd w:w="-9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0A6E31" w:rsidRPr="00852F8C" w14:paraId="5A3864ED" w14:textId="77777777" w:rsidTr="00441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shd w:val="clear" w:color="auto" w:fill="00205B"/>
          </w:tcPr>
          <w:bookmarkEnd w:id="1"/>
          <w:p w14:paraId="661BF950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 w:val="0"/>
                <w:sz w:val="20"/>
                <w:szCs w:val="20"/>
              </w:rPr>
            </w:pPr>
            <w:r w:rsidRPr="00852F8C">
              <w:rPr>
                <w:rFonts w:ascii="Verdana" w:eastAsia="Times New Roman" w:hAnsi="Verdana" w:cs="Arial"/>
                <w:sz w:val="20"/>
                <w:szCs w:val="20"/>
              </w:rPr>
              <w:t xml:space="preserve">Additional Items Reviewed </w:t>
            </w:r>
          </w:p>
        </w:tc>
      </w:tr>
    </w:tbl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0A6E31" w:rsidRPr="00852F8C" w14:paraId="4588D2D6" w14:textId="77777777" w:rsidTr="001C0339">
        <w:tc>
          <w:tcPr>
            <w:tcW w:w="2520" w:type="dxa"/>
          </w:tcPr>
          <w:p w14:paraId="4084C365" w14:textId="77777777" w:rsidR="000A6E31" w:rsidRPr="00852F8C" w:rsidRDefault="000A6E31" w:rsidP="005247AA">
            <w:pPr>
              <w:spacing w:after="24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852F8C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370" w:type="dxa"/>
          </w:tcPr>
          <w:p w14:paraId="4048D7BA" w14:textId="1A200632" w:rsidR="000A6E31" w:rsidRPr="00852F8C" w:rsidRDefault="00822707" w:rsidP="005247AA">
            <w:pPr>
              <w:spacing w:after="24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Drugs with New Policies</w:t>
            </w:r>
          </w:p>
        </w:tc>
      </w:tr>
      <w:tr w:rsidR="00822707" w:rsidRPr="00852F8C" w14:paraId="689CEF80" w14:textId="77777777" w:rsidTr="00347888">
        <w:trPr>
          <w:trHeight w:val="377"/>
        </w:trPr>
        <w:tc>
          <w:tcPr>
            <w:tcW w:w="2520" w:type="dxa"/>
          </w:tcPr>
          <w:p w14:paraId="0A40655A" w14:textId="27F85FDD" w:rsidR="00822707" w:rsidRDefault="00822707" w:rsidP="00822707">
            <w:pPr>
              <w:rPr>
                <w:rFonts w:ascii="Verdana" w:hAnsi="Verdana" w:cs="Times New Roman"/>
                <w:bCs/>
              </w:rPr>
            </w:pPr>
            <w:r w:rsidRPr="006547A2">
              <w:rPr>
                <w:rFonts w:ascii="Verdana" w:hAnsi="Verdana" w:cs="Times New Roman"/>
                <w:bCs/>
              </w:rPr>
              <w:lastRenderedPageBreak/>
              <w:t xml:space="preserve">New Medical Drug Policies (effective </w:t>
            </w:r>
            <w:r w:rsidR="00FB700B">
              <w:rPr>
                <w:rFonts w:ascii="Verdana" w:hAnsi="Verdana" w:cs="Times New Roman"/>
                <w:bCs/>
              </w:rPr>
              <w:t>4</w:t>
            </w:r>
            <w:r w:rsidR="00B727CC" w:rsidRPr="006547A2">
              <w:rPr>
                <w:rFonts w:ascii="Verdana" w:hAnsi="Verdana" w:cs="Times New Roman"/>
                <w:bCs/>
              </w:rPr>
              <w:t>/1</w:t>
            </w:r>
            <w:r w:rsidRPr="006547A2">
              <w:rPr>
                <w:rFonts w:ascii="Verdana" w:hAnsi="Verdana" w:cs="Times New Roman"/>
                <w:bCs/>
              </w:rPr>
              <w:t>/202</w:t>
            </w:r>
            <w:r w:rsidR="000D701C">
              <w:rPr>
                <w:rFonts w:ascii="Verdana" w:hAnsi="Verdana" w:cs="Times New Roman"/>
                <w:bCs/>
              </w:rPr>
              <w:t>5</w:t>
            </w:r>
            <w:r w:rsidRPr="006547A2">
              <w:rPr>
                <w:rFonts w:ascii="Verdana" w:hAnsi="Verdana" w:cs="Times New Roman"/>
                <w:bCs/>
              </w:rPr>
              <w:t>)</w:t>
            </w:r>
          </w:p>
          <w:p w14:paraId="47B4D3B8" w14:textId="77777777" w:rsidR="00C56DA1" w:rsidRDefault="00C56DA1" w:rsidP="00822707">
            <w:pPr>
              <w:rPr>
                <w:rFonts w:ascii="Verdana" w:hAnsi="Verdana" w:cs="Times New Roman"/>
                <w:bCs/>
              </w:rPr>
            </w:pPr>
          </w:p>
          <w:p w14:paraId="166089E0" w14:textId="252CE866" w:rsidR="00C56DA1" w:rsidRPr="006547A2" w:rsidRDefault="00C56DA1" w:rsidP="00822707">
            <w:pPr>
              <w:rPr>
                <w:rFonts w:ascii="Verdana" w:hAnsi="Verdana" w:cs="Times New Roman"/>
                <w:bCs/>
              </w:rPr>
            </w:pPr>
          </w:p>
        </w:tc>
        <w:tc>
          <w:tcPr>
            <w:tcW w:w="8370" w:type="dxa"/>
          </w:tcPr>
          <w:p w14:paraId="0D254F61" w14:textId="77777777" w:rsidR="00F004BF" w:rsidRPr="00FB700B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>
              <w:rPr>
                <w:rFonts w:ascii="Verdana" w:hAnsi="Verdana"/>
                <w:bCs/>
              </w:rPr>
              <w:t>Bizengri</w:t>
            </w:r>
            <w:proofErr w:type="spellEnd"/>
          </w:p>
          <w:p w14:paraId="5C3CEFCF" w14:textId="77777777" w:rsidR="00FB700B" w:rsidRPr="00FB700B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FB700B">
              <w:rPr>
                <w:rFonts w:ascii="Verdana" w:hAnsi="Verdana"/>
                <w:bCs/>
              </w:rPr>
              <w:t>Aucatzyl</w:t>
            </w:r>
            <w:proofErr w:type="spellEnd"/>
          </w:p>
          <w:p w14:paraId="2A0BF983" w14:textId="77777777" w:rsidR="00FB700B" w:rsidRPr="00FB700B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FB700B">
              <w:rPr>
                <w:rFonts w:ascii="Verdana" w:hAnsi="Verdana"/>
                <w:bCs/>
              </w:rPr>
              <w:t>Ziihera</w:t>
            </w:r>
            <w:proofErr w:type="spellEnd"/>
          </w:p>
          <w:p w14:paraId="17240E74" w14:textId="77777777" w:rsidR="00FB700B" w:rsidRPr="00FB700B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FB700B">
              <w:rPr>
                <w:rFonts w:ascii="Verdana" w:hAnsi="Verdana"/>
                <w:bCs/>
              </w:rPr>
              <w:t>Datroway</w:t>
            </w:r>
            <w:proofErr w:type="spellEnd"/>
          </w:p>
          <w:p w14:paraId="733B8551" w14:textId="77777777" w:rsidR="00FB700B" w:rsidRPr="00FB700B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FB700B">
              <w:rPr>
                <w:rFonts w:ascii="Verdana" w:hAnsi="Verdana"/>
                <w:bCs/>
              </w:rPr>
              <w:t>Kebilidi</w:t>
            </w:r>
            <w:proofErr w:type="spellEnd"/>
          </w:p>
          <w:p w14:paraId="01383BE7" w14:textId="77777777" w:rsidR="00FB700B" w:rsidRPr="00FB700B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FB700B">
              <w:rPr>
                <w:rFonts w:ascii="Verdana" w:hAnsi="Verdana"/>
                <w:bCs/>
              </w:rPr>
              <w:t>Ryoncil</w:t>
            </w:r>
            <w:proofErr w:type="spellEnd"/>
          </w:p>
          <w:p w14:paraId="49B68E27" w14:textId="77777777" w:rsidR="00FB700B" w:rsidRPr="00FB700B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  <w:proofErr w:type="spellStart"/>
            <w:r w:rsidRPr="00FB700B">
              <w:rPr>
                <w:rFonts w:ascii="Verdana" w:hAnsi="Verdana"/>
                <w:bCs/>
              </w:rPr>
              <w:t>Unloxcyt</w:t>
            </w:r>
            <w:proofErr w:type="spellEnd"/>
          </w:p>
          <w:p w14:paraId="1096147E" w14:textId="0FD079EA" w:rsidR="00FB700B" w:rsidRPr="00AB7540" w:rsidRDefault="00FB700B" w:rsidP="000D701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FB700B">
              <w:rPr>
                <w:rFonts w:ascii="Verdana" w:hAnsi="Verdana"/>
                <w:bCs/>
              </w:rPr>
              <w:t>Opdivo</w:t>
            </w:r>
            <w:proofErr w:type="spellEnd"/>
            <w:r w:rsidRPr="00FB700B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FB700B">
              <w:rPr>
                <w:rFonts w:ascii="Verdana" w:hAnsi="Verdana"/>
                <w:bCs/>
              </w:rPr>
              <w:t>Qvantig</w:t>
            </w:r>
            <w:proofErr w:type="spellEnd"/>
          </w:p>
        </w:tc>
      </w:tr>
    </w:tbl>
    <w:p w14:paraId="4396F646" w14:textId="77777777" w:rsidR="004A4967" w:rsidRPr="0008291B" w:rsidRDefault="004A4967" w:rsidP="004A4967">
      <w:pPr>
        <w:rPr>
          <w:rFonts w:ascii="Verdana" w:eastAsia="Times New Roman" w:hAnsi="Verdana" w:cs="Arial"/>
          <w:sz w:val="20"/>
          <w:szCs w:val="20"/>
        </w:rPr>
      </w:pPr>
    </w:p>
    <w:sectPr w:rsidR="004A4967" w:rsidRPr="0008291B" w:rsidSect="00E70EBB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6F1D" w14:textId="77777777" w:rsidR="001E0B7A" w:rsidRDefault="001E0B7A">
      <w:r>
        <w:separator/>
      </w:r>
    </w:p>
  </w:endnote>
  <w:endnote w:type="continuationSeparator" w:id="0">
    <w:p w14:paraId="00004FC0" w14:textId="77777777" w:rsidR="001E0B7A" w:rsidRDefault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97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AB9F" w14:textId="223CE295" w:rsidR="00E24624" w:rsidRDefault="00E24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F77D4" w14:textId="44197675" w:rsidR="003F1B83" w:rsidRPr="00E24624" w:rsidRDefault="003F1B83" w:rsidP="00E24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04DA" w14:textId="77777777" w:rsidR="001E0B7A" w:rsidRDefault="001E0B7A">
      <w:r>
        <w:separator/>
      </w:r>
    </w:p>
  </w:footnote>
  <w:footnote w:type="continuationSeparator" w:id="0">
    <w:p w14:paraId="48C996A1" w14:textId="77777777" w:rsidR="001E0B7A" w:rsidRDefault="001E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51D4" w14:textId="19B38D68" w:rsidR="003F1B83" w:rsidRDefault="003F1B83" w:rsidP="007813ED">
    <w:pPr>
      <w:spacing w:before="24"/>
      <w:ind w:right="-20"/>
      <w:jc w:val="center"/>
      <w:rPr>
        <w:rFonts w:ascii="Verdana" w:hAnsi="Verdana"/>
        <w:b/>
        <w:noProof/>
        <w:sz w:val="28"/>
        <w:szCs w:val="28"/>
      </w:rPr>
    </w:pPr>
    <w:r w:rsidRPr="007813ED">
      <w:rPr>
        <w:rFonts w:ascii="Verdana" w:hAnsi="Verdana"/>
        <w:i/>
        <w:iCs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435F0FDD" wp14:editId="4F530742">
          <wp:simplePos x="0" y="0"/>
          <wp:positionH relativeFrom="margin">
            <wp:posOffset>-352425</wp:posOffset>
          </wp:positionH>
          <wp:positionV relativeFrom="paragraph">
            <wp:posOffset>-336550</wp:posOffset>
          </wp:positionV>
          <wp:extent cx="1914525" cy="400050"/>
          <wp:effectExtent l="0" t="0" r="9525" b="0"/>
          <wp:wrapNone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5AC958" w14:textId="0A75447C" w:rsidR="003F1B83" w:rsidRPr="00C06728" w:rsidRDefault="00F11DC6" w:rsidP="00080E04">
    <w:pPr>
      <w:spacing w:before="24"/>
      <w:ind w:right="-20"/>
      <w:jc w:val="center"/>
      <w:rPr>
        <w:rFonts w:ascii="Verdana" w:hAnsi="Verdana"/>
        <w:b/>
        <w:noProof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t>March</w:t>
    </w:r>
    <w:r w:rsidR="00455328">
      <w:rPr>
        <w:rFonts w:ascii="Verdana" w:hAnsi="Verdana"/>
        <w:b/>
        <w:noProof/>
        <w:sz w:val="24"/>
        <w:szCs w:val="24"/>
      </w:rPr>
      <w:t xml:space="preserve"> 202</w:t>
    </w:r>
    <w:r>
      <w:rPr>
        <w:rFonts w:ascii="Verdana" w:hAnsi="Verdana"/>
        <w:b/>
        <w:noProof/>
        <w:sz w:val="24"/>
        <w:szCs w:val="24"/>
      </w:rPr>
      <w:t>5</w:t>
    </w:r>
    <w:r w:rsidR="003F1B83"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 xml:space="preserve"> Pharmacy &amp; </w:t>
    </w:r>
    <w:r w:rsidR="003F1B83" w:rsidRPr="00C06728">
      <w:rPr>
        <w:rFonts w:ascii="Verdana" w:eastAsia="Times New Roman" w:hAnsi="Verdana" w:cs="Times New Roman"/>
        <w:b/>
        <w:bCs/>
        <w:sz w:val="24"/>
        <w:szCs w:val="24"/>
      </w:rPr>
      <w:t>Therapeutics</w:t>
    </w:r>
  </w:p>
  <w:p w14:paraId="3AEB01D9" w14:textId="19FDB444" w:rsidR="003F1B83" w:rsidRDefault="003F1B83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  <w:r w:rsidRPr="00C06728">
      <w:rPr>
        <w:rFonts w:ascii="Verdana" w:eastAsia="Times New Roman" w:hAnsi="Verdana" w:cs="Times New Roman"/>
        <w:b/>
        <w:bCs/>
        <w:spacing w:val="-2"/>
        <w:sz w:val="24"/>
        <w:szCs w:val="24"/>
      </w:rPr>
      <w:t>C</w:t>
    </w:r>
    <w:r w:rsidRPr="00C06728">
      <w:rPr>
        <w:rFonts w:ascii="Verdana" w:eastAsia="Times New Roman" w:hAnsi="Verdana" w:cs="Times New Roman"/>
        <w:b/>
        <w:bCs/>
        <w:spacing w:val="2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m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 xml:space="preserve">ttee 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D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ec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s</w:t>
    </w:r>
    <w:r w:rsidRPr="00C06728">
      <w:rPr>
        <w:rFonts w:ascii="Verdana" w:eastAsia="Times New Roman" w:hAnsi="Verdana" w:cs="Times New Roman"/>
        <w:b/>
        <w:bCs/>
        <w:spacing w:val="-1"/>
        <w:sz w:val="24"/>
        <w:szCs w:val="24"/>
      </w:rPr>
      <w:t>i</w:t>
    </w:r>
    <w:r w:rsidRPr="00C06728">
      <w:rPr>
        <w:rFonts w:ascii="Verdana" w:eastAsia="Times New Roman" w:hAnsi="Verdana" w:cs="Times New Roman"/>
        <w:b/>
        <w:bCs/>
        <w:spacing w:val="1"/>
        <w:sz w:val="24"/>
        <w:szCs w:val="24"/>
      </w:rPr>
      <w:t>o</w:t>
    </w:r>
    <w:r w:rsidRPr="00C06728">
      <w:rPr>
        <w:rFonts w:ascii="Verdana" w:eastAsia="Times New Roman" w:hAnsi="Verdana" w:cs="Times New Roman"/>
        <w:b/>
        <w:bCs/>
        <w:spacing w:val="-3"/>
        <w:sz w:val="24"/>
        <w:szCs w:val="24"/>
      </w:rPr>
      <w:t>n</w:t>
    </w:r>
    <w:r w:rsidRPr="00C06728">
      <w:rPr>
        <w:rFonts w:ascii="Verdana" w:eastAsia="Times New Roman" w:hAnsi="Verdana" w:cs="Times New Roman"/>
        <w:b/>
        <w:bCs/>
        <w:sz w:val="24"/>
        <w:szCs w:val="24"/>
      </w:rPr>
      <w:t>s</w:t>
    </w:r>
  </w:p>
  <w:p w14:paraId="34F965A0" w14:textId="77777777" w:rsidR="005D7E74" w:rsidRDefault="005D7E74" w:rsidP="007813ED">
    <w:pPr>
      <w:spacing w:before="24"/>
      <w:ind w:right="-20"/>
      <w:jc w:val="center"/>
      <w:rPr>
        <w:rFonts w:ascii="Verdana" w:eastAsia="Times New Roman" w:hAnsi="Verdana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1C6"/>
    <w:multiLevelType w:val="hybridMultilevel"/>
    <w:tmpl w:val="F640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2EC"/>
    <w:multiLevelType w:val="hybridMultilevel"/>
    <w:tmpl w:val="68F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6A66"/>
    <w:multiLevelType w:val="hybridMultilevel"/>
    <w:tmpl w:val="34D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7E23"/>
    <w:multiLevelType w:val="hybridMultilevel"/>
    <w:tmpl w:val="CF660648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376BE"/>
    <w:multiLevelType w:val="hybridMultilevel"/>
    <w:tmpl w:val="3F1C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4BCF"/>
    <w:multiLevelType w:val="hybridMultilevel"/>
    <w:tmpl w:val="164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C06"/>
    <w:multiLevelType w:val="hybridMultilevel"/>
    <w:tmpl w:val="24F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04331"/>
    <w:multiLevelType w:val="hybridMultilevel"/>
    <w:tmpl w:val="0A22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49C"/>
    <w:multiLevelType w:val="hybridMultilevel"/>
    <w:tmpl w:val="3A4A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BD8"/>
    <w:multiLevelType w:val="hybridMultilevel"/>
    <w:tmpl w:val="678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C42"/>
    <w:multiLevelType w:val="hybridMultilevel"/>
    <w:tmpl w:val="9E0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35C1"/>
    <w:multiLevelType w:val="hybridMultilevel"/>
    <w:tmpl w:val="B9046FD0"/>
    <w:lvl w:ilvl="0" w:tplc="6D026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835DF"/>
    <w:multiLevelType w:val="hybridMultilevel"/>
    <w:tmpl w:val="BA2E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6192"/>
    <w:multiLevelType w:val="hybridMultilevel"/>
    <w:tmpl w:val="C0C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522D"/>
    <w:multiLevelType w:val="hybridMultilevel"/>
    <w:tmpl w:val="C242F7C8"/>
    <w:lvl w:ilvl="0" w:tplc="76FC1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ED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0B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C9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D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A1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C4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72F9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EBB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8511A"/>
    <w:multiLevelType w:val="hybridMultilevel"/>
    <w:tmpl w:val="347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2DCC"/>
    <w:multiLevelType w:val="hybridMultilevel"/>
    <w:tmpl w:val="2A42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6BC1"/>
    <w:multiLevelType w:val="hybridMultilevel"/>
    <w:tmpl w:val="512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507C"/>
    <w:multiLevelType w:val="hybridMultilevel"/>
    <w:tmpl w:val="D49E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14A70"/>
    <w:multiLevelType w:val="hybridMultilevel"/>
    <w:tmpl w:val="0D6C3062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628B3463"/>
    <w:multiLevelType w:val="hybridMultilevel"/>
    <w:tmpl w:val="0116FED6"/>
    <w:lvl w:ilvl="0" w:tplc="9994303E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12A8"/>
    <w:multiLevelType w:val="hybridMultilevel"/>
    <w:tmpl w:val="4382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64065"/>
    <w:multiLevelType w:val="hybridMultilevel"/>
    <w:tmpl w:val="1F50C03C"/>
    <w:lvl w:ilvl="0" w:tplc="DF3CB18E">
      <w:start w:val="1"/>
      <w:numFmt w:val="decimal"/>
      <w:suff w:val="nothing"/>
      <w:lvlText w:val="%1."/>
      <w:lvlJc w:val="left"/>
      <w:pPr>
        <w:ind w:left="0" w:firstLine="7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35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272A"/>
    <w:multiLevelType w:val="hybridMultilevel"/>
    <w:tmpl w:val="7122C8E2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4" w15:restartNumberingAfterBreak="0">
    <w:nsid w:val="6F2106AB"/>
    <w:multiLevelType w:val="hybridMultilevel"/>
    <w:tmpl w:val="D6C6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81CA9"/>
    <w:multiLevelType w:val="hybridMultilevel"/>
    <w:tmpl w:val="706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749E3"/>
    <w:multiLevelType w:val="hybridMultilevel"/>
    <w:tmpl w:val="C4FE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0779">
    <w:abstractNumId w:val="21"/>
  </w:num>
  <w:num w:numId="2" w16cid:durableId="1978099830">
    <w:abstractNumId w:val="23"/>
  </w:num>
  <w:num w:numId="3" w16cid:durableId="1002123467">
    <w:abstractNumId w:val="9"/>
  </w:num>
  <w:num w:numId="4" w16cid:durableId="32199846">
    <w:abstractNumId w:val="1"/>
  </w:num>
  <w:num w:numId="5" w16cid:durableId="197477088">
    <w:abstractNumId w:val="7"/>
  </w:num>
  <w:num w:numId="6" w16cid:durableId="1379547306">
    <w:abstractNumId w:val="15"/>
  </w:num>
  <w:num w:numId="7" w16cid:durableId="919951421">
    <w:abstractNumId w:val="8"/>
  </w:num>
  <w:num w:numId="8" w16cid:durableId="63340024">
    <w:abstractNumId w:val="6"/>
  </w:num>
  <w:num w:numId="9" w16cid:durableId="219295041">
    <w:abstractNumId w:val="11"/>
  </w:num>
  <w:num w:numId="10" w16cid:durableId="1379088175">
    <w:abstractNumId w:val="17"/>
  </w:num>
  <w:num w:numId="11" w16cid:durableId="1358458559">
    <w:abstractNumId w:val="26"/>
  </w:num>
  <w:num w:numId="12" w16cid:durableId="832255705">
    <w:abstractNumId w:val="5"/>
  </w:num>
  <w:num w:numId="13" w16cid:durableId="1048648586">
    <w:abstractNumId w:val="19"/>
  </w:num>
  <w:num w:numId="14" w16cid:durableId="865485552">
    <w:abstractNumId w:val="20"/>
  </w:num>
  <w:num w:numId="15" w16cid:durableId="40174074">
    <w:abstractNumId w:val="3"/>
  </w:num>
  <w:num w:numId="16" w16cid:durableId="816722650">
    <w:abstractNumId w:val="0"/>
  </w:num>
  <w:num w:numId="17" w16cid:durableId="345718672">
    <w:abstractNumId w:val="13"/>
  </w:num>
  <w:num w:numId="18" w16cid:durableId="1082531695">
    <w:abstractNumId w:val="18"/>
  </w:num>
  <w:num w:numId="19" w16cid:durableId="1500077621">
    <w:abstractNumId w:val="2"/>
  </w:num>
  <w:num w:numId="20" w16cid:durableId="1599602900">
    <w:abstractNumId w:val="12"/>
  </w:num>
  <w:num w:numId="21" w16cid:durableId="1137836206">
    <w:abstractNumId w:val="25"/>
  </w:num>
  <w:num w:numId="22" w16cid:durableId="1030061509">
    <w:abstractNumId w:val="24"/>
  </w:num>
  <w:num w:numId="23" w16cid:durableId="753742264">
    <w:abstractNumId w:val="10"/>
  </w:num>
  <w:num w:numId="24" w16cid:durableId="1871331762">
    <w:abstractNumId w:val="22"/>
  </w:num>
  <w:num w:numId="25" w16cid:durableId="1879584921">
    <w:abstractNumId w:val="4"/>
  </w:num>
  <w:num w:numId="26" w16cid:durableId="2136289971">
    <w:abstractNumId w:val="14"/>
  </w:num>
  <w:num w:numId="27" w16cid:durableId="462622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6F"/>
    <w:rsid w:val="00001331"/>
    <w:rsid w:val="0000536E"/>
    <w:rsid w:val="0000785E"/>
    <w:rsid w:val="00013B7E"/>
    <w:rsid w:val="00015A48"/>
    <w:rsid w:val="00021C33"/>
    <w:rsid w:val="0002693E"/>
    <w:rsid w:val="000276E5"/>
    <w:rsid w:val="00027B5D"/>
    <w:rsid w:val="0003103B"/>
    <w:rsid w:val="00041EE0"/>
    <w:rsid w:val="00042572"/>
    <w:rsid w:val="0005112F"/>
    <w:rsid w:val="0005632B"/>
    <w:rsid w:val="00062D9B"/>
    <w:rsid w:val="00072DE3"/>
    <w:rsid w:val="00075402"/>
    <w:rsid w:val="000762F7"/>
    <w:rsid w:val="00077220"/>
    <w:rsid w:val="00080E04"/>
    <w:rsid w:val="0008291B"/>
    <w:rsid w:val="0008523F"/>
    <w:rsid w:val="000863CE"/>
    <w:rsid w:val="00090CB6"/>
    <w:rsid w:val="000A29D3"/>
    <w:rsid w:val="000A3A58"/>
    <w:rsid w:val="000A6E31"/>
    <w:rsid w:val="000B1E4B"/>
    <w:rsid w:val="000B377F"/>
    <w:rsid w:val="000B6BBD"/>
    <w:rsid w:val="000C0DF2"/>
    <w:rsid w:val="000C1AED"/>
    <w:rsid w:val="000C5531"/>
    <w:rsid w:val="000D701C"/>
    <w:rsid w:val="000E3555"/>
    <w:rsid w:val="000E718C"/>
    <w:rsid w:val="000E7E43"/>
    <w:rsid w:val="000F3657"/>
    <w:rsid w:val="00103223"/>
    <w:rsid w:val="00111747"/>
    <w:rsid w:val="00113BFC"/>
    <w:rsid w:val="00123683"/>
    <w:rsid w:val="00123A36"/>
    <w:rsid w:val="00153FC2"/>
    <w:rsid w:val="00154175"/>
    <w:rsid w:val="00166739"/>
    <w:rsid w:val="0016796B"/>
    <w:rsid w:val="001679C6"/>
    <w:rsid w:val="001737B3"/>
    <w:rsid w:val="00173929"/>
    <w:rsid w:val="00174C58"/>
    <w:rsid w:val="001762D1"/>
    <w:rsid w:val="00181BB5"/>
    <w:rsid w:val="001877A4"/>
    <w:rsid w:val="001A5644"/>
    <w:rsid w:val="001A7D1B"/>
    <w:rsid w:val="001B05E8"/>
    <w:rsid w:val="001B671E"/>
    <w:rsid w:val="001B70F1"/>
    <w:rsid w:val="001C0339"/>
    <w:rsid w:val="001C4424"/>
    <w:rsid w:val="001C6A3A"/>
    <w:rsid w:val="001D1C4F"/>
    <w:rsid w:val="001E0B7A"/>
    <w:rsid w:val="001E24D2"/>
    <w:rsid w:val="001E373C"/>
    <w:rsid w:val="001E756A"/>
    <w:rsid w:val="001F15E8"/>
    <w:rsid w:val="00200C5D"/>
    <w:rsid w:val="0020307C"/>
    <w:rsid w:val="00217B3A"/>
    <w:rsid w:val="00222189"/>
    <w:rsid w:val="00224305"/>
    <w:rsid w:val="002248EA"/>
    <w:rsid w:val="00227DA7"/>
    <w:rsid w:val="0023110B"/>
    <w:rsid w:val="00240902"/>
    <w:rsid w:val="002530EB"/>
    <w:rsid w:val="00254712"/>
    <w:rsid w:val="00255A16"/>
    <w:rsid w:val="00263AA5"/>
    <w:rsid w:val="00276D88"/>
    <w:rsid w:val="002776D4"/>
    <w:rsid w:val="00282F97"/>
    <w:rsid w:val="00286B01"/>
    <w:rsid w:val="00287036"/>
    <w:rsid w:val="00291916"/>
    <w:rsid w:val="00296E12"/>
    <w:rsid w:val="00296EF6"/>
    <w:rsid w:val="002A5AA8"/>
    <w:rsid w:val="002B26A4"/>
    <w:rsid w:val="002B3F56"/>
    <w:rsid w:val="002C7005"/>
    <w:rsid w:val="002D282C"/>
    <w:rsid w:val="002E3600"/>
    <w:rsid w:val="002E4598"/>
    <w:rsid w:val="00300359"/>
    <w:rsid w:val="00303B44"/>
    <w:rsid w:val="0030564B"/>
    <w:rsid w:val="0031220E"/>
    <w:rsid w:val="0031642B"/>
    <w:rsid w:val="003167C3"/>
    <w:rsid w:val="00320E7E"/>
    <w:rsid w:val="0032109D"/>
    <w:rsid w:val="00326070"/>
    <w:rsid w:val="00330E7F"/>
    <w:rsid w:val="0033413B"/>
    <w:rsid w:val="003357F7"/>
    <w:rsid w:val="00342BF8"/>
    <w:rsid w:val="00347603"/>
    <w:rsid w:val="00347888"/>
    <w:rsid w:val="00350CBF"/>
    <w:rsid w:val="00352182"/>
    <w:rsid w:val="00357691"/>
    <w:rsid w:val="003628BE"/>
    <w:rsid w:val="003637F1"/>
    <w:rsid w:val="00365381"/>
    <w:rsid w:val="003718D1"/>
    <w:rsid w:val="00374925"/>
    <w:rsid w:val="0037536D"/>
    <w:rsid w:val="0037686F"/>
    <w:rsid w:val="00376CD6"/>
    <w:rsid w:val="00377322"/>
    <w:rsid w:val="0038015B"/>
    <w:rsid w:val="003847EC"/>
    <w:rsid w:val="00393788"/>
    <w:rsid w:val="00393F0F"/>
    <w:rsid w:val="003A2BC8"/>
    <w:rsid w:val="003A2FBC"/>
    <w:rsid w:val="003B6BD2"/>
    <w:rsid w:val="003C216A"/>
    <w:rsid w:val="003C30B6"/>
    <w:rsid w:val="003C4DD7"/>
    <w:rsid w:val="003D089B"/>
    <w:rsid w:val="003D0A4A"/>
    <w:rsid w:val="003E5867"/>
    <w:rsid w:val="003F1B83"/>
    <w:rsid w:val="003F605C"/>
    <w:rsid w:val="00400E1D"/>
    <w:rsid w:val="00405517"/>
    <w:rsid w:val="00407397"/>
    <w:rsid w:val="00411EE3"/>
    <w:rsid w:val="004178F5"/>
    <w:rsid w:val="004265F7"/>
    <w:rsid w:val="00440BB7"/>
    <w:rsid w:val="0044162D"/>
    <w:rsid w:val="004430D3"/>
    <w:rsid w:val="00443AD2"/>
    <w:rsid w:val="00443D2D"/>
    <w:rsid w:val="00443FD7"/>
    <w:rsid w:val="004471A0"/>
    <w:rsid w:val="00453C40"/>
    <w:rsid w:val="00455328"/>
    <w:rsid w:val="00455724"/>
    <w:rsid w:val="0045729E"/>
    <w:rsid w:val="00460EDB"/>
    <w:rsid w:val="00463796"/>
    <w:rsid w:val="004878FB"/>
    <w:rsid w:val="0049166B"/>
    <w:rsid w:val="004934D4"/>
    <w:rsid w:val="004971A5"/>
    <w:rsid w:val="004A3F96"/>
    <w:rsid w:val="004A4967"/>
    <w:rsid w:val="004B468F"/>
    <w:rsid w:val="004B4A2D"/>
    <w:rsid w:val="004B5320"/>
    <w:rsid w:val="004B7440"/>
    <w:rsid w:val="004C1325"/>
    <w:rsid w:val="004C1625"/>
    <w:rsid w:val="004C1E77"/>
    <w:rsid w:val="004C5F89"/>
    <w:rsid w:val="004C78BE"/>
    <w:rsid w:val="004D093E"/>
    <w:rsid w:val="004D176F"/>
    <w:rsid w:val="004D5183"/>
    <w:rsid w:val="004D6922"/>
    <w:rsid w:val="004E6FF6"/>
    <w:rsid w:val="004F2F90"/>
    <w:rsid w:val="004F5834"/>
    <w:rsid w:val="004F7C78"/>
    <w:rsid w:val="00501F1C"/>
    <w:rsid w:val="00507646"/>
    <w:rsid w:val="00511917"/>
    <w:rsid w:val="00523363"/>
    <w:rsid w:val="005247AA"/>
    <w:rsid w:val="0053124A"/>
    <w:rsid w:val="005471DD"/>
    <w:rsid w:val="00552179"/>
    <w:rsid w:val="005607E2"/>
    <w:rsid w:val="00567170"/>
    <w:rsid w:val="00570471"/>
    <w:rsid w:val="00583068"/>
    <w:rsid w:val="005842E0"/>
    <w:rsid w:val="005919AE"/>
    <w:rsid w:val="005923D0"/>
    <w:rsid w:val="00595206"/>
    <w:rsid w:val="00596B6A"/>
    <w:rsid w:val="005A0F54"/>
    <w:rsid w:val="005A4597"/>
    <w:rsid w:val="005A54CD"/>
    <w:rsid w:val="005A5771"/>
    <w:rsid w:val="005A7171"/>
    <w:rsid w:val="005B07DA"/>
    <w:rsid w:val="005B6F69"/>
    <w:rsid w:val="005C2E2A"/>
    <w:rsid w:val="005C6C17"/>
    <w:rsid w:val="005C7E4C"/>
    <w:rsid w:val="005D02FA"/>
    <w:rsid w:val="005D0AD5"/>
    <w:rsid w:val="005D5A8C"/>
    <w:rsid w:val="005D7E74"/>
    <w:rsid w:val="005E2989"/>
    <w:rsid w:val="005E716D"/>
    <w:rsid w:val="005E7889"/>
    <w:rsid w:val="005F2A5F"/>
    <w:rsid w:val="005F3EFF"/>
    <w:rsid w:val="0060264F"/>
    <w:rsid w:val="0062160D"/>
    <w:rsid w:val="006223BC"/>
    <w:rsid w:val="00630D15"/>
    <w:rsid w:val="00631DE6"/>
    <w:rsid w:val="006324B9"/>
    <w:rsid w:val="00632618"/>
    <w:rsid w:val="0063466E"/>
    <w:rsid w:val="0063560A"/>
    <w:rsid w:val="0063773D"/>
    <w:rsid w:val="006411FC"/>
    <w:rsid w:val="00644FCA"/>
    <w:rsid w:val="00646B34"/>
    <w:rsid w:val="00647476"/>
    <w:rsid w:val="00651BDB"/>
    <w:rsid w:val="00651F73"/>
    <w:rsid w:val="00653C33"/>
    <w:rsid w:val="00654666"/>
    <w:rsid w:val="006547A2"/>
    <w:rsid w:val="0065705C"/>
    <w:rsid w:val="006623BA"/>
    <w:rsid w:val="0066383F"/>
    <w:rsid w:val="006678A7"/>
    <w:rsid w:val="00670D60"/>
    <w:rsid w:val="00672217"/>
    <w:rsid w:val="006732A8"/>
    <w:rsid w:val="006746EE"/>
    <w:rsid w:val="006804D8"/>
    <w:rsid w:val="00684C33"/>
    <w:rsid w:val="00690B16"/>
    <w:rsid w:val="006935BF"/>
    <w:rsid w:val="0069703B"/>
    <w:rsid w:val="006977BA"/>
    <w:rsid w:val="006A5737"/>
    <w:rsid w:val="006B16C1"/>
    <w:rsid w:val="006C5E4A"/>
    <w:rsid w:val="006C6F0C"/>
    <w:rsid w:val="006D3FF4"/>
    <w:rsid w:val="006E7EE6"/>
    <w:rsid w:val="006F3BD7"/>
    <w:rsid w:val="006F62E8"/>
    <w:rsid w:val="007010BB"/>
    <w:rsid w:val="007044D6"/>
    <w:rsid w:val="00705890"/>
    <w:rsid w:val="00710E9D"/>
    <w:rsid w:val="00723809"/>
    <w:rsid w:val="0073440C"/>
    <w:rsid w:val="0073594F"/>
    <w:rsid w:val="00741038"/>
    <w:rsid w:val="00746B73"/>
    <w:rsid w:val="00752274"/>
    <w:rsid w:val="007523CA"/>
    <w:rsid w:val="00755911"/>
    <w:rsid w:val="007575C7"/>
    <w:rsid w:val="00760FBC"/>
    <w:rsid w:val="00761F43"/>
    <w:rsid w:val="00762CBA"/>
    <w:rsid w:val="00764303"/>
    <w:rsid w:val="00765246"/>
    <w:rsid w:val="00766DC0"/>
    <w:rsid w:val="00776016"/>
    <w:rsid w:val="007813ED"/>
    <w:rsid w:val="00791941"/>
    <w:rsid w:val="007977D3"/>
    <w:rsid w:val="007A2D68"/>
    <w:rsid w:val="007A2E41"/>
    <w:rsid w:val="007A586C"/>
    <w:rsid w:val="007A7913"/>
    <w:rsid w:val="007A7E74"/>
    <w:rsid w:val="007C152F"/>
    <w:rsid w:val="007D11A0"/>
    <w:rsid w:val="007D1D6A"/>
    <w:rsid w:val="007D3B4E"/>
    <w:rsid w:val="007D59EC"/>
    <w:rsid w:val="007D7099"/>
    <w:rsid w:val="007D7F52"/>
    <w:rsid w:val="007E2C73"/>
    <w:rsid w:val="007E4E57"/>
    <w:rsid w:val="007F3F30"/>
    <w:rsid w:val="007F4708"/>
    <w:rsid w:val="007F475C"/>
    <w:rsid w:val="007F5D21"/>
    <w:rsid w:val="00810A35"/>
    <w:rsid w:val="0081196F"/>
    <w:rsid w:val="008146C0"/>
    <w:rsid w:val="00814D6B"/>
    <w:rsid w:val="00814EE1"/>
    <w:rsid w:val="00820934"/>
    <w:rsid w:val="00822707"/>
    <w:rsid w:val="008238AB"/>
    <w:rsid w:val="00832DF6"/>
    <w:rsid w:val="00832EB0"/>
    <w:rsid w:val="00837406"/>
    <w:rsid w:val="00843F92"/>
    <w:rsid w:val="00844266"/>
    <w:rsid w:val="00844806"/>
    <w:rsid w:val="00852F8C"/>
    <w:rsid w:val="00854C16"/>
    <w:rsid w:val="008615D7"/>
    <w:rsid w:val="0086202F"/>
    <w:rsid w:val="00870C50"/>
    <w:rsid w:val="00873F95"/>
    <w:rsid w:val="008747E1"/>
    <w:rsid w:val="00875379"/>
    <w:rsid w:val="00876AB4"/>
    <w:rsid w:val="00876EFE"/>
    <w:rsid w:val="00876F27"/>
    <w:rsid w:val="00886C6D"/>
    <w:rsid w:val="00886F40"/>
    <w:rsid w:val="008907FC"/>
    <w:rsid w:val="0089593C"/>
    <w:rsid w:val="008A03E8"/>
    <w:rsid w:val="008A3424"/>
    <w:rsid w:val="008B1C3E"/>
    <w:rsid w:val="008B2543"/>
    <w:rsid w:val="008B2789"/>
    <w:rsid w:val="008D2E75"/>
    <w:rsid w:val="008D34C4"/>
    <w:rsid w:val="008D566F"/>
    <w:rsid w:val="008E2C56"/>
    <w:rsid w:val="008E332C"/>
    <w:rsid w:val="008E4E86"/>
    <w:rsid w:val="008E57B6"/>
    <w:rsid w:val="008F2FB5"/>
    <w:rsid w:val="008F582F"/>
    <w:rsid w:val="00901C99"/>
    <w:rsid w:val="00901F72"/>
    <w:rsid w:val="00906017"/>
    <w:rsid w:val="00911CE5"/>
    <w:rsid w:val="00911DEB"/>
    <w:rsid w:val="00914400"/>
    <w:rsid w:val="00914747"/>
    <w:rsid w:val="0091573D"/>
    <w:rsid w:val="00920315"/>
    <w:rsid w:val="00934B10"/>
    <w:rsid w:val="00941DB4"/>
    <w:rsid w:val="0095205D"/>
    <w:rsid w:val="00956AB9"/>
    <w:rsid w:val="00964238"/>
    <w:rsid w:val="009645C1"/>
    <w:rsid w:val="00970958"/>
    <w:rsid w:val="00970C72"/>
    <w:rsid w:val="00970FE4"/>
    <w:rsid w:val="00972555"/>
    <w:rsid w:val="0097530B"/>
    <w:rsid w:val="00975A46"/>
    <w:rsid w:val="00976ECF"/>
    <w:rsid w:val="0098015B"/>
    <w:rsid w:val="009927A3"/>
    <w:rsid w:val="0099506A"/>
    <w:rsid w:val="00995073"/>
    <w:rsid w:val="009A191A"/>
    <w:rsid w:val="009A327F"/>
    <w:rsid w:val="009C12CD"/>
    <w:rsid w:val="009C2659"/>
    <w:rsid w:val="009D3869"/>
    <w:rsid w:val="009E4205"/>
    <w:rsid w:val="009F5B06"/>
    <w:rsid w:val="00A005B8"/>
    <w:rsid w:val="00A02DD7"/>
    <w:rsid w:val="00A05F99"/>
    <w:rsid w:val="00A07721"/>
    <w:rsid w:val="00A12D85"/>
    <w:rsid w:val="00A1528B"/>
    <w:rsid w:val="00A164C4"/>
    <w:rsid w:val="00A201AE"/>
    <w:rsid w:val="00A22479"/>
    <w:rsid w:val="00A237A9"/>
    <w:rsid w:val="00A24C6C"/>
    <w:rsid w:val="00A30660"/>
    <w:rsid w:val="00A356E9"/>
    <w:rsid w:val="00A4706E"/>
    <w:rsid w:val="00A47147"/>
    <w:rsid w:val="00A54A60"/>
    <w:rsid w:val="00A640AB"/>
    <w:rsid w:val="00A66B54"/>
    <w:rsid w:val="00A829B7"/>
    <w:rsid w:val="00A82C92"/>
    <w:rsid w:val="00A84469"/>
    <w:rsid w:val="00A92595"/>
    <w:rsid w:val="00AA2672"/>
    <w:rsid w:val="00AA31FF"/>
    <w:rsid w:val="00AB0E4C"/>
    <w:rsid w:val="00AB1450"/>
    <w:rsid w:val="00AB22E9"/>
    <w:rsid w:val="00AB6C97"/>
    <w:rsid w:val="00AB7540"/>
    <w:rsid w:val="00AC4968"/>
    <w:rsid w:val="00AD0D0C"/>
    <w:rsid w:val="00AD28A5"/>
    <w:rsid w:val="00AD333B"/>
    <w:rsid w:val="00AD34C7"/>
    <w:rsid w:val="00AD4610"/>
    <w:rsid w:val="00AD66FA"/>
    <w:rsid w:val="00AE1D31"/>
    <w:rsid w:val="00AE6351"/>
    <w:rsid w:val="00AE79B0"/>
    <w:rsid w:val="00AF0175"/>
    <w:rsid w:val="00AF03AD"/>
    <w:rsid w:val="00AF18FE"/>
    <w:rsid w:val="00AF2228"/>
    <w:rsid w:val="00AF3556"/>
    <w:rsid w:val="00AF502D"/>
    <w:rsid w:val="00B15806"/>
    <w:rsid w:val="00B26334"/>
    <w:rsid w:val="00B341E2"/>
    <w:rsid w:val="00B42D27"/>
    <w:rsid w:val="00B452FC"/>
    <w:rsid w:val="00B45B7C"/>
    <w:rsid w:val="00B53640"/>
    <w:rsid w:val="00B54FDE"/>
    <w:rsid w:val="00B552FE"/>
    <w:rsid w:val="00B727CC"/>
    <w:rsid w:val="00B76A29"/>
    <w:rsid w:val="00B80CEA"/>
    <w:rsid w:val="00B81F89"/>
    <w:rsid w:val="00B91F98"/>
    <w:rsid w:val="00B96566"/>
    <w:rsid w:val="00B969C8"/>
    <w:rsid w:val="00BA476A"/>
    <w:rsid w:val="00BA5EBF"/>
    <w:rsid w:val="00BA65CE"/>
    <w:rsid w:val="00BA6D19"/>
    <w:rsid w:val="00BA7E1A"/>
    <w:rsid w:val="00BB0FE6"/>
    <w:rsid w:val="00BB3847"/>
    <w:rsid w:val="00BB3E10"/>
    <w:rsid w:val="00BB7425"/>
    <w:rsid w:val="00BC0998"/>
    <w:rsid w:val="00BD0499"/>
    <w:rsid w:val="00BD0C1E"/>
    <w:rsid w:val="00BD1D0F"/>
    <w:rsid w:val="00BD4764"/>
    <w:rsid w:val="00BE479A"/>
    <w:rsid w:val="00BE6EB6"/>
    <w:rsid w:val="00C0196F"/>
    <w:rsid w:val="00C06728"/>
    <w:rsid w:val="00C10694"/>
    <w:rsid w:val="00C119D2"/>
    <w:rsid w:val="00C11ADE"/>
    <w:rsid w:val="00C2794E"/>
    <w:rsid w:val="00C3217C"/>
    <w:rsid w:val="00C32D5D"/>
    <w:rsid w:val="00C36463"/>
    <w:rsid w:val="00C45D79"/>
    <w:rsid w:val="00C534D5"/>
    <w:rsid w:val="00C53605"/>
    <w:rsid w:val="00C56DA1"/>
    <w:rsid w:val="00C625FE"/>
    <w:rsid w:val="00C83FC4"/>
    <w:rsid w:val="00C908F5"/>
    <w:rsid w:val="00CA4C87"/>
    <w:rsid w:val="00CB1165"/>
    <w:rsid w:val="00CB7322"/>
    <w:rsid w:val="00CD33D9"/>
    <w:rsid w:val="00CD7CCD"/>
    <w:rsid w:val="00CE6933"/>
    <w:rsid w:val="00CF0AE6"/>
    <w:rsid w:val="00CF20AC"/>
    <w:rsid w:val="00CF3528"/>
    <w:rsid w:val="00D0156A"/>
    <w:rsid w:val="00D04062"/>
    <w:rsid w:val="00D05CEA"/>
    <w:rsid w:val="00D06B4E"/>
    <w:rsid w:val="00D149B9"/>
    <w:rsid w:val="00D20342"/>
    <w:rsid w:val="00D209F3"/>
    <w:rsid w:val="00D21FA9"/>
    <w:rsid w:val="00D2576D"/>
    <w:rsid w:val="00D26979"/>
    <w:rsid w:val="00D3175B"/>
    <w:rsid w:val="00D358CA"/>
    <w:rsid w:val="00D4079E"/>
    <w:rsid w:val="00D46781"/>
    <w:rsid w:val="00D46C3A"/>
    <w:rsid w:val="00D476D1"/>
    <w:rsid w:val="00D5135F"/>
    <w:rsid w:val="00D57D61"/>
    <w:rsid w:val="00D633E8"/>
    <w:rsid w:val="00D80B16"/>
    <w:rsid w:val="00D84EC6"/>
    <w:rsid w:val="00D877F3"/>
    <w:rsid w:val="00D9015D"/>
    <w:rsid w:val="00DA2B74"/>
    <w:rsid w:val="00DA3259"/>
    <w:rsid w:val="00DB5D81"/>
    <w:rsid w:val="00DB6129"/>
    <w:rsid w:val="00DB76EA"/>
    <w:rsid w:val="00DC189A"/>
    <w:rsid w:val="00DC3D3E"/>
    <w:rsid w:val="00DC7D01"/>
    <w:rsid w:val="00DD7640"/>
    <w:rsid w:val="00DD7DA3"/>
    <w:rsid w:val="00DE063F"/>
    <w:rsid w:val="00DF0239"/>
    <w:rsid w:val="00DF3108"/>
    <w:rsid w:val="00E006EC"/>
    <w:rsid w:val="00E013CB"/>
    <w:rsid w:val="00E07AE9"/>
    <w:rsid w:val="00E13B43"/>
    <w:rsid w:val="00E15C2F"/>
    <w:rsid w:val="00E174F6"/>
    <w:rsid w:val="00E24624"/>
    <w:rsid w:val="00E319C1"/>
    <w:rsid w:val="00E32DDA"/>
    <w:rsid w:val="00E4366B"/>
    <w:rsid w:val="00E44EED"/>
    <w:rsid w:val="00E46327"/>
    <w:rsid w:val="00E474FD"/>
    <w:rsid w:val="00E54B19"/>
    <w:rsid w:val="00E70EBB"/>
    <w:rsid w:val="00E71DCB"/>
    <w:rsid w:val="00E744C8"/>
    <w:rsid w:val="00E74BF6"/>
    <w:rsid w:val="00E74D63"/>
    <w:rsid w:val="00E7525F"/>
    <w:rsid w:val="00E77836"/>
    <w:rsid w:val="00E8102A"/>
    <w:rsid w:val="00E82183"/>
    <w:rsid w:val="00E8257D"/>
    <w:rsid w:val="00E84053"/>
    <w:rsid w:val="00E841AA"/>
    <w:rsid w:val="00E85C8E"/>
    <w:rsid w:val="00E864E7"/>
    <w:rsid w:val="00E902DB"/>
    <w:rsid w:val="00E91C92"/>
    <w:rsid w:val="00EA0D64"/>
    <w:rsid w:val="00EB661B"/>
    <w:rsid w:val="00EB71D7"/>
    <w:rsid w:val="00EC06CC"/>
    <w:rsid w:val="00EC6614"/>
    <w:rsid w:val="00EC703C"/>
    <w:rsid w:val="00ED2B9A"/>
    <w:rsid w:val="00ED320C"/>
    <w:rsid w:val="00EE322F"/>
    <w:rsid w:val="00EE634E"/>
    <w:rsid w:val="00F003A7"/>
    <w:rsid w:val="00F004BF"/>
    <w:rsid w:val="00F05FFE"/>
    <w:rsid w:val="00F11DC6"/>
    <w:rsid w:val="00F15BF5"/>
    <w:rsid w:val="00F24DFC"/>
    <w:rsid w:val="00F31CE2"/>
    <w:rsid w:val="00F43E91"/>
    <w:rsid w:val="00F60FB8"/>
    <w:rsid w:val="00F6467A"/>
    <w:rsid w:val="00F73C1A"/>
    <w:rsid w:val="00F76C61"/>
    <w:rsid w:val="00F8644A"/>
    <w:rsid w:val="00F91E3D"/>
    <w:rsid w:val="00F926B2"/>
    <w:rsid w:val="00F965E0"/>
    <w:rsid w:val="00FA1D1E"/>
    <w:rsid w:val="00FA3D06"/>
    <w:rsid w:val="00FA49A1"/>
    <w:rsid w:val="00FA7C28"/>
    <w:rsid w:val="00FB3A36"/>
    <w:rsid w:val="00FB3F79"/>
    <w:rsid w:val="00FB700B"/>
    <w:rsid w:val="00FC051D"/>
    <w:rsid w:val="00FC4D27"/>
    <w:rsid w:val="00FC6389"/>
    <w:rsid w:val="00FD6E95"/>
    <w:rsid w:val="00FE05CF"/>
    <w:rsid w:val="00FE7640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2789C8C4"/>
  <w15:docId w15:val="{D20B5484-1A6A-4CB2-9674-5051FC0C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A35"/>
  </w:style>
  <w:style w:type="paragraph" w:styleId="Footer">
    <w:name w:val="footer"/>
    <w:basedOn w:val="Normal"/>
    <w:link w:val="FooterChar"/>
    <w:uiPriority w:val="99"/>
    <w:unhideWhenUsed/>
    <w:rsid w:val="00810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A35"/>
  </w:style>
  <w:style w:type="table" w:styleId="TableGrid">
    <w:name w:val="Table Grid"/>
    <w:basedOn w:val="TableNormal"/>
    <w:uiPriority w:val="39"/>
    <w:rsid w:val="0055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5521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3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E8"/>
    <w:rPr>
      <w:b/>
      <w:bCs/>
      <w:sz w:val="20"/>
      <w:szCs w:val="20"/>
    </w:rPr>
  </w:style>
  <w:style w:type="paragraph" w:styleId="NoSpacing">
    <w:name w:val="No Spacing"/>
    <w:uiPriority w:val="1"/>
    <w:qFormat/>
    <w:rsid w:val="00A237A9"/>
  </w:style>
  <w:style w:type="paragraph" w:customStyle="1" w:styleId="Standard1">
    <w:name w:val="Standard1"/>
    <w:basedOn w:val="Normal"/>
    <w:rsid w:val="0037492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7540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9BD.41969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C65A-7379-4546-A0DC-209D82E6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2165</Words>
  <Characters>12776</Characters>
  <Application>Microsoft Office Word</Application>
  <DocSecurity>0</DocSecurity>
  <Lines>1597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 Som</dc:creator>
  <cp:keywords/>
  <dc:description/>
  <cp:lastModifiedBy>Lynda Laitinen-Terlecki</cp:lastModifiedBy>
  <cp:revision>4</cp:revision>
  <cp:lastPrinted>2021-03-05T16:16:00Z</cp:lastPrinted>
  <dcterms:created xsi:type="dcterms:W3CDTF">2025-03-17T16:18:00Z</dcterms:created>
  <dcterms:modified xsi:type="dcterms:W3CDTF">2025-03-17T18:56:00Z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2014-10-08T00:00:00Z</vt:filetime>
  </property>
</Properties>
</file>