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6287" w14:textId="67FA93B7" w:rsidR="004A3F96" w:rsidRPr="00A05F99" w:rsidRDefault="004A3F96" w:rsidP="00CB7322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  <w:r w:rsidRPr="00A05F99">
        <w:rPr>
          <w:rFonts w:ascii="Verdana" w:eastAsia="Times New Roman" w:hAnsi="Verdana" w:cs="Times New Roman"/>
          <w:bCs/>
          <w:spacing w:val="2"/>
        </w:rPr>
        <w:t>UCare</w:t>
      </w:r>
      <w:r w:rsidR="00440BB7" w:rsidRPr="00A05F99">
        <w:rPr>
          <w:rFonts w:ascii="Verdana" w:eastAsia="Times New Roman" w:hAnsi="Verdana" w:cs="Times New Roman"/>
          <w:bCs/>
          <w:spacing w:val="2"/>
        </w:rPr>
        <w:t>’s</w:t>
      </w:r>
      <w:r w:rsidRPr="00A05F99">
        <w:rPr>
          <w:rFonts w:ascii="Verdana" w:eastAsia="Times New Roman" w:hAnsi="Verdana" w:cs="Times New Roman"/>
          <w:bCs/>
          <w:spacing w:val="2"/>
        </w:rPr>
        <w:t xml:space="preserve"> Pharmacy and Therapeutics Committee (P&amp;T) is a group of physicians and pharmacists that meet throughout </w:t>
      </w:r>
      <w:r w:rsidR="00AD66FA" w:rsidRPr="00A05F99">
        <w:rPr>
          <w:rFonts w:ascii="Verdana" w:eastAsia="Times New Roman" w:hAnsi="Verdana" w:cs="Times New Roman"/>
          <w:bCs/>
          <w:spacing w:val="2"/>
        </w:rPr>
        <w:t>the year to make changes to UCare formularies</w:t>
      </w:r>
      <w:r w:rsidR="00875379" w:rsidRPr="00A05F99">
        <w:rPr>
          <w:rFonts w:ascii="Verdana" w:eastAsia="Times New Roman" w:hAnsi="Verdana" w:cs="Times New Roman"/>
          <w:bCs/>
          <w:spacing w:val="2"/>
        </w:rPr>
        <w:t xml:space="preserve"> (approved drug list). </w:t>
      </w:r>
      <w:r w:rsidRPr="00A05F99">
        <w:rPr>
          <w:rFonts w:ascii="Verdana" w:eastAsia="Times New Roman" w:hAnsi="Verdana" w:cs="Times New Roman"/>
          <w:bCs/>
          <w:spacing w:val="2"/>
        </w:rPr>
        <w:t>These changes are reviewed based on clinical evidence</w:t>
      </w:r>
      <w:r w:rsidR="0063466E" w:rsidRPr="00A05F99">
        <w:rPr>
          <w:rFonts w:ascii="Verdana" w:eastAsia="Times New Roman" w:hAnsi="Verdana" w:cs="Times New Roman"/>
          <w:bCs/>
          <w:spacing w:val="2"/>
        </w:rPr>
        <w:t xml:space="preserve">, safety, and </w:t>
      </w:r>
      <w:r w:rsidR="00875379" w:rsidRPr="00A05F99">
        <w:rPr>
          <w:rFonts w:ascii="Verdana" w:eastAsia="Times New Roman" w:hAnsi="Verdana" w:cs="Times New Roman"/>
          <w:bCs/>
          <w:spacing w:val="2"/>
        </w:rPr>
        <w:t xml:space="preserve">therapeutic guidelines. </w:t>
      </w:r>
      <w:r w:rsidRPr="00A05F99">
        <w:rPr>
          <w:rFonts w:ascii="Verdana" w:eastAsia="Times New Roman" w:hAnsi="Verdana" w:cs="Times New Roman"/>
          <w:bCs/>
          <w:spacing w:val="2"/>
        </w:rPr>
        <w:t xml:space="preserve">All changes that </w:t>
      </w:r>
      <w:r w:rsidR="0063466E" w:rsidRPr="00A05F99">
        <w:rPr>
          <w:rFonts w:ascii="Verdana" w:eastAsia="Times New Roman" w:hAnsi="Verdana" w:cs="Times New Roman"/>
          <w:bCs/>
          <w:spacing w:val="2"/>
        </w:rPr>
        <w:t xml:space="preserve">are </w:t>
      </w:r>
      <w:r w:rsidRPr="00A05F99">
        <w:rPr>
          <w:rFonts w:ascii="Verdana" w:eastAsia="Times New Roman" w:hAnsi="Verdana" w:cs="Times New Roman"/>
          <w:bCs/>
          <w:spacing w:val="2"/>
        </w:rPr>
        <w:t xml:space="preserve">recommended by P&amp;T </w:t>
      </w:r>
      <w:r w:rsidR="00CB7322" w:rsidRPr="00A05F99">
        <w:rPr>
          <w:rFonts w:ascii="Verdana" w:eastAsia="Times New Roman" w:hAnsi="Verdana" w:cs="Times New Roman"/>
          <w:bCs/>
          <w:spacing w:val="2"/>
        </w:rPr>
        <w:t xml:space="preserve">for the Medicare formularies </w:t>
      </w:r>
      <w:r w:rsidRPr="00A05F99">
        <w:rPr>
          <w:rFonts w:ascii="Verdana" w:eastAsia="Times New Roman" w:hAnsi="Verdana" w:cs="Times New Roman"/>
          <w:bCs/>
          <w:spacing w:val="2"/>
        </w:rPr>
        <w:t>are tentative un</w:t>
      </w:r>
      <w:r w:rsidR="00CB7322" w:rsidRPr="00A05F99">
        <w:rPr>
          <w:rFonts w:ascii="Verdana" w:eastAsia="Times New Roman" w:hAnsi="Verdana" w:cs="Times New Roman"/>
          <w:bCs/>
          <w:spacing w:val="2"/>
        </w:rPr>
        <w:t>til UCare receives final CMS approval.</w:t>
      </w:r>
    </w:p>
    <w:p w14:paraId="65087A81" w14:textId="77777777" w:rsidR="004A3F96" w:rsidRPr="00A05F99" w:rsidRDefault="004A3F96" w:rsidP="004A3F96">
      <w:pPr>
        <w:spacing w:before="24"/>
        <w:ind w:left="569" w:right="-20"/>
        <w:rPr>
          <w:rFonts w:ascii="Verdana" w:eastAsia="Times New Roman" w:hAnsi="Verdana" w:cs="Times New Roman"/>
          <w:bCs/>
          <w:spacing w:val="2"/>
        </w:rPr>
      </w:pPr>
    </w:p>
    <w:p w14:paraId="1150A02D" w14:textId="77777777" w:rsidR="00B81F89" w:rsidRPr="00A05F99" w:rsidRDefault="004A3F96" w:rsidP="00CB7322">
      <w:pPr>
        <w:spacing w:before="24"/>
        <w:ind w:right="-20"/>
        <w:rPr>
          <w:rFonts w:ascii="Verdana" w:eastAsia="Times New Roman" w:hAnsi="Verdana" w:cs="Times New Roman"/>
          <w:bCs/>
          <w:spacing w:val="2"/>
          <w:u w:val="single"/>
        </w:rPr>
      </w:pPr>
      <w:r w:rsidRPr="00A05F99">
        <w:rPr>
          <w:rFonts w:ascii="Verdana" w:eastAsia="Times New Roman" w:hAnsi="Verdana" w:cs="Times New Roman"/>
          <w:bCs/>
          <w:spacing w:val="2"/>
          <w:u w:val="single"/>
        </w:rPr>
        <w:t>Key:</w:t>
      </w:r>
    </w:p>
    <w:p w14:paraId="5D1D94BF" w14:textId="57D86478" w:rsidR="00B81F89" w:rsidRPr="00A05F99" w:rsidRDefault="00400E1D" w:rsidP="00CB7322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  <w:r w:rsidRPr="00A05F99">
        <w:rPr>
          <w:rFonts w:ascii="Verdana" w:eastAsia="Times New Roman" w:hAnsi="Verdana" w:cs="Times New Roman"/>
          <w:bCs/>
          <w:spacing w:val="2"/>
        </w:rPr>
        <w:t xml:space="preserve">Medicare: </w:t>
      </w:r>
      <w:r w:rsidR="001B70F1" w:rsidRPr="00A05F99">
        <w:rPr>
          <w:rFonts w:ascii="Verdana" w:eastAsia="Times New Roman" w:hAnsi="Verdana" w:cs="Times New Roman"/>
          <w:bCs/>
          <w:spacing w:val="2"/>
        </w:rPr>
        <w:t>UC</w:t>
      </w:r>
      <w:r w:rsidR="00B81F89" w:rsidRPr="00A05F99">
        <w:rPr>
          <w:rFonts w:ascii="Verdana" w:eastAsia="Times New Roman" w:hAnsi="Verdana" w:cs="Times New Roman"/>
          <w:bCs/>
          <w:spacing w:val="2"/>
        </w:rPr>
        <w:t>ar</w:t>
      </w:r>
      <w:r w:rsidRPr="00A05F99">
        <w:rPr>
          <w:rFonts w:ascii="Verdana" w:eastAsia="Times New Roman" w:hAnsi="Verdana" w:cs="Times New Roman"/>
          <w:bCs/>
          <w:spacing w:val="2"/>
        </w:rPr>
        <w:t>e</w:t>
      </w:r>
      <w:r w:rsidR="005A0F54" w:rsidRPr="00A05F99">
        <w:rPr>
          <w:rFonts w:ascii="Verdana" w:eastAsia="Times New Roman" w:hAnsi="Verdana" w:cs="Times New Roman"/>
          <w:bCs/>
          <w:spacing w:val="2"/>
        </w:rPr>
        <w:t xml:space="preserve"> Medicare</w:t>
      </w:r>
      <w:r w:rsidRPr="00A05F99">
        <w:rPr>
          <w:rFonts w:ascii="Verdana" w:eastAsia="Times New Roman" w:hAnsi="Verdana" w:cs="Times New Roman"/>
          <w:bCs/>
          <w:spacing w:val="2"/>
        </w:rPr>
        <w:t>,</w:t>
      </w:r>
      <w:r w:rsidR="005A0F54" w:rsidRPr="00A05F99">
        <w:rPr>
          <w:rFonts w:ascii="Verdana" w:eastAsia="Times New Roman" w:hAnsi="Verdana" w:cs="Times New Roman"/>
          <w:bCs/>
          <w:spacing w:val="2"/>
        </w:rPr>
        <w:t xml:space="preserve"> UCare Group Medicare, </w:t>
      </w:r>
      <w:r w:rsidR="00523363" w:rsidRPr="00A05F99">
        <w:rPr>
          <w:rFonts w:ascii="Verdana" w:eastAsia="Times New Roman" w:hAnsi="Verdana" w:cs="Times New Roman"/>
          <w:bCs/>
          <w:spacing w:val="2"/>
        </w:rPr>
        <w:t xml:space="preserve">EssentiaCare, </w:t>
      </w:r>
      <w:r w:rsidRPr="00A05F99">
        <w:rPr>
          <w:rFonts w:ascii="Verdana" w:eastAsia="Times New Roman" w:hAnsi="Verdana" w:cs="Times New Roman"/>
          <w:bCs/>
          <w:spacing w:val="2"/>
        </w:rPr>
        <w:t>Minnesota Sen</w:t>
      </w:r>
      <w:r w:rsidR="00523363" w:rsidRPr="00A05F99">
        <w:rPr>
          <w:rFonts w:ascii="Verdana" w:eastAsia="Times New Roman" w:hAnsi="Verdana" w:cs="Times New Roman"/>
          <w:bCs/>
          <w:spacing w:val="2"/>
        </w:rPr>
        <w:t>ior Health Options</w:t>
      </w:r>
      <w:r w:rsidR="005A0F54" w:rsidRPr="00A05F99">
        <w:rPr>
          <w:rFonts w:ascii="Verdana" w:eastAsia="Times New Roman" w:hAnsi="Verdana" w:cs="Times New Roman"/>
          <w:bCs/>
          <w:spacing w:val="2"/>
        </w:rPr>
        <w:t xml:space="preserve"> (MSHO)</w:t>
      </w:r>
      <w:r w:rsidR="00523363" w:rsidRPr="00A05F99">
        <w:rPr>
          <w:rFonts w:ascii="Verdana" w:eastAsia="Times New Roman" w:hAnsi="Verdana" w:cs="Times New Roman"/>
          <w:bCs/>
          <w:spacing w:val="2"/>
        </w:rPr>
        <w:t xml:space="preserve"> </w:t>
      </w:r>
      <w:r w:rsidR="005C2E2A" w:rsidRPr="00A05F99">
        <w:rPr>
          <w:rFonts w:ascii="Verdana" w:eastAsia="Times New Roman" w:hAnsi="Verdana" w:cs="Times New Roman"/>
          <w:bCs/>
          <w:spacing w:val="2"/>
        </w:rPr>
        <w:t xml:space="preserve">&amp; Connect + Medicare </w:t>
      </w:r>
    </w:p>
    <w:p w14:paraId="7EDBF446" w14:textId="712FB4C0" w:rsidR="0005632B" w:rsidRPr="00A05F99" w:rsidRDefault="00854C16" w:rsidP="00CB7322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  <w:r>
        <w:rPr>
          <w:rFonts w:ascii="Verdana" w:eastAsia="Times New Roman" w:hAnsi="Verdana" w:cs="Times New Roman"/>
          <w:bCs/>
          <w:spacing w:val="2"/>
        </w:rPr>
        <w:t>Medical Assistance</w:t>
      </w:r>
      <w:r w:rsidR="00400E1D" w:rsidRPr="00A05F99">
        <w:rPr>
          <w:rFonts w:ascii="Verdana" w:eastAsia="Times New Roman" w:hAnsi="Verdana" w:cs="Times New Roman"/>
          <w:bCs/>
          <w:spacing w:val="2"/>
        </w:rPr>
        <w:t>: PMAP, MnCare, MSC+ &amp; Connect</w:t>
      </w:r>
    </w:p>
    <w:p w14:paraId="6F77E887" w14:textId="5944DAAC" w:rsidR="00400E1D" w:rsidRPr="00A05F99" w:rsidRDefault="00400E1D" w:rsidP="00CB7322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  <w:r w:rsidRPr="00A05F99">
        <w:rPr>
          <w:rFonts w:ascii="Verdana" w:eastAsia="Times New Roman" w:hAnsi="Verdana" w:cs="Times New Roman"/>
          <w:bCs/>
          <w:spacing w:val="2"/>
        </w:rPr>
        <w:t xml:space="preserve">Exchange: UCare </w:t>
      </w:r>
      <w:r w:rsidR="005A0F54" w:rsidRPr="00A05F99">
        <w:rPr>
          <w:rFonts w:ascii="Verdana" w:eastAsia="Times New Roman" w:hAnsi="Verdana" w:cs="Times New Roman"/>
          <w:bCs/>
          <w:spacing w:val="2"/>
        </w:rPr>
        <w:t>Individual and Family Plans</w:t>
      </w:r>
    </w:p>
    <w:p w14:paraId="4185E2F5" w14:textId="77777777" w:rsidR="00303B44" w:rsidRPr="00A05F99" w:rsidRDefault="00303B44" w:rsidP="00CB7322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</w:p>
    <w:p w14:paraId="7985106C" w14:textId="0A85FDAA" w:rsidR="004A3F96" w:rsidRPr="00A05F99" w:rsidRDefault="00303B44" w:rsidP="00CB7322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  <w:r w:rsidRPr="00A05F99">
        <w:rPr>
          <w:rFonts w:ascii="Verdana" w:eastAsia="Times New Roman" w:hAnsi="Verdana" w:cs="Times New Roman"/>
          <w:bCs/>
          <w:spacing w:val="2"/>
        </w:rPr>
        <w:t>F</w:t>
      </w:r>
      <w:r w:rsidR="00347603" w:rsidRPr="00A05F99">
        <w:rPr>
          <w:rFonts w:ascii="Verdana" w:eastAsia="Times New Roman" w:hAnsi="Verdana" w:cs="Times New Roman"/>
          <w:bCs/>
          <w:spacing w:val="2"/>
        </w:rPr>
        <w:t xml:space="preserve">: </w:t>
      </w:r>
      <w:r w:rsidRPr="00A05F99">
        <w:rPr>
          <w:rFonts w:ascii="Verdana" w:eastAsia="Times New Roman" w:hAnsi="Verdana" w:cs="Times New Roman"/>
          <w:bCs/>
          <w:spacing w:val="2"/>
        </w:rPr>
        <w:t>Formulary</w:t>
      </w:r>
      <w:r w:rsidR="00B81F89" w:rsidRPr="00A05F99">
        <w:rPr>
          <w:rFonts w:ascii="Verdana" w:eastAsia="Times New Roman" w:hAnsi="Verdana" w:cs="Times New Roman"/>
          <w:bCs/>
          <w:spacing w:val="2"/>
        </w:rPr>
        <w:tab/>
      </w:r>
      <w:r w:rsidR="00B81F89" w:rsidRPr="00A05F99">
        <w:rPr>
          <w:rFonts w:ascii="Verdana" w:eastAsia="Times New Roman" w:hAnsi="Verdana" w:cs="Times New Roman"/>
          <w:bCs/>
          <w:spacing w:val="2"/>
        </w:rPr>
        <w:tab/>
      </w:r>
      <w:r w:rsidR="00B81F89" w:rsidRPr="00A05F99">
        <w:rPr>
          <w:rFonts w:ascii="Verdana" w:eastAsia="Times New Roman" w:hAnsi="Verdana" w:cs="Times New Roman"/>
          <w:bCs/>
          <w:spacing w:val="2"/>
        </w:rPr>
        <w:tab/>
      </w:r>
      <w:r w:rsidR="00B81F89" w:rsidRPr="00A05F99">
        <w:rPr>
          <w:rFonts w:ascii="Verdana" w:eastAsia="Times New Roman" w:hAnsi="Verdana" w:cs="Times New Roman"/>
          <w:bCs/>
          <w:spacing w:val="2"/>
        </w:rPr>
        <w:tab/>
      </w:r>
      <w:r w:rsidR="00B81F89" w:rsidRPr="00A05F99">
        <w:rPr>
          <w:rFonts w:ascii="Verdana" w:eastAsia="Times New Roman" w:hAnsi="Verdana" w:cs="Times New Roman"/>
          <w:bCs/>
          <w:spacing w:val="2"/>
        </w:rPr>
        <w:tab/>
      </w:r>
      <w:r w:rsidR="00B81F89" w:rsidRPr="00A05F99">
        <w:rPr>
          <w:rFonts w:ascii="Verdana" w:eastAsia="Times New Roman" w:hAnsi="Verdana" w:cs="Times New Roman"/>
          <w:bCs/>
          <w:spacing w:val="2"/>
        </w:rPr>
        <w:tab/>
      </w:r>
      <w:r w:rsidR="00B81F89" w:rsidRPr="00A05F99">
        <w:rPr>
          <w:rFonts w:ascii="Verdana" w:eastAsia="Times New Roman" w:hAnsi="Verdana" w:cs="Times New Roman"/>
          <w:bCs/>
          <w:spacing w:val="2"/>
        </w:rPr>
        <w:tab/>
      </w:r>
    </w:p>
    <w:p w14:paraId="00D3FA92" w14:textId="7173AA21" w:rsidR="00173929" w:rsidRPr="00A05F99" w:rsidRDefault="00173929" w:rsidP="00173929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  <w:r w:rsidRPr="00A05F99">
        <w:rPr>
          <w:rFonts w:ascii="Verdana" w:eastAsia="Times New Roman" w:hAnsi="Verdana" w:cs="Times New Roman"/>
          <w:bCs/>
          <w:spacing w:val="2"/>
        </w:rPr>
        <w:t>NF</w:t>
      </w:r>
      <w:r w:rsidR="00347603" w:rsidRPr="00A05F99">
        <w:rPr>
          <w:rFonts w:ascii="Verdana" w:eastAsia="Times New Roman" w:hAnsi="Verdana" w:cs="Times New Roman"/>
          <w:bCs/>
          <w:spacing w:val="2"/>
        </w:rPr>
        <w:t xml:space="preserve">: </w:t>
      </w:r>
      <w:r w:rsidRPr="00A05F99">
        <w:rPr>
          <w:rFonts w:ascii="Verdana" w:eastAsia="Times New Roman" w:hAnsi="Verdana" w:cs="Times New Roman"/>
          <w:bCs/>
          <w:spacing w:val="2"/>
        </w:rPr>
        <w:t>Non-formulary</w:t>
      </w:r>
    </w:p>
    <w:p w14:paraId="5F4065EA" w14:textId="7C8229A1" w:rsidR="004934D4" w:rsidRPr="00A05F99" w:rsidRDefault="004934D4" w:rsidP="00844806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  <w:r w:rsidRPr="00A05F99">
        <w:rPr>
          <w:rFonts w:ascii="Verdana" w:eastAsia="Times New Roman" w:hAnsi="Verdana" w:cs="Times New Roman"/>
          <w:bCs/>
          <w:spacing w:val="2"/>
        </w:rPr>
        <w:t>PA</w:t>
      </w:r>
      <w:r w:rsidR="00347603" w:rsidRPr="00A05F99">
        <w:rPr>
          <w:rFonts w:ascii="Verdana" w:eastAsia="Times New Roman" w:hAnsi="Verdana" w:cs="Times New Roman"/>
          <w:bCs/>
          <w:spacing w:val="2"/>
        </w:rPr>
        <w:t xml:space="preserve">: </w:t>
      </w:r>
      <w:r w:rsidRPr="00A05F99">
        <w:rPr>
          <w:rFonts w:ascii="Verdana" w:eastAsia="Times New Roman" w:hAnsi="Verdana" w:cs="Times New Roman"/>
          <w:bCs/>
          <w:spacing w:val="2"/>
        </w:rPr>
        <w:t xml:space="preserve">Prior Authorization </w:t>
      </w:r>
    </w:p>
    <w:p w14:paraId="2971532A" w14:textId="05202C80" w:rsidR="00844806" w:rsidRPr="00A05F99" w:rsidRDefault="004934D4" w:rsidP="00844806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  <w:r w:rsidRPr="00A05F99">
        <w:rPr>
          <w:rFonts w:ascii="Verdana" w:eastAsia="Times New Roman" w:hAnsi="Verdana" w:cs="Times New Roman"/>
          <w:bCs/>
          <w:spacing w:val="2"/>
        </w:rPr>
        <w:t>QL</w:t>
      </w:r>
      <w:r w:rsidR="00347603" w:rsidRPr="00A05F99">
        <w:rPr>
          <w:rFonts w:ascii="Verdana" w:eastAsia="Times New Roman" w:hAnsi="Verdana" w:cs="Times New Roman"/>
          <w:bCs/>
          <w:spacing w:val="2"/>
        </w:rPr>
        <w:t xml:space="preserve">: </w:t>
      </w:r>
      <w:r w:rsidRPr="00A05F99">
        <w:rPr>
          <w:rFonts w:ascii="Verdana" w:eastAsia="Times New Roman" w:hAnsi="Verdana" w:cs="Times New Roman"/>
          <w:bCs/>
          <w:spacing w:val="2"/>
        </w:rPr>
        <w:t>Quantity Limit</w:t>
      </w:r>
      <w:r w:rsidRPr="00A05F99">
        <w:rPr>
          <w:rFonts w:ascii="Verdana" w:eastAsia="Times New Roman" w:hAnsi="Verdana" w:cs="Times New Roman"/>
          <w:bCs/>
          <w:spacing w:val="2"/>
        </w:rPr>
        <w:tab/>
      </w:r>
      <w:r w:rsidRPr="00A05F99">
        <w:rPr>
          <w:rFonts w:ascii="Verdana" w:eastAsia="Times New Roman" w:hAnsi="Verdana" w:cs="Times New Roman"/>
          <w:bCs/>
          <w:spacing w:val="2"/>
        </w:rPr>
        <w:tab/>
      </w:r>
      <w:r w:rsidRPr="00A05F99">
        <w:rPr>
          <w:rFonts w:ascii="Verdana" w:eastAsia="Times New Roman" w:hAnsi="Verdana" w:cs="Times New Roman"/>
          <w:bCs/>
          <w:spacing w:val="2"/>
        </w:rPr>
        <w:tab/>
      </w:r>
      <w:r w:rsidRPr="00A05F99">
        <w:rPr>
          <w:rFonts w:ascii="Verdana" w:eastAsia="Times New Roman" w:hAnsi="Verdana" w:cs="Times New Roman"/>
          <w:bCs/>
          <w:spacing w:val="2"/>
        </w:rPr>
        <w:tab/>
      </w:r>
      <w:r w:rsidRPr="00A05F99">
        <w:rPr>
          <w:rFonts w:ascii="Verdana" w:eastAsia="Times New Roman" w:hAnsi="Verdana" w:cs="Times New Roman"/>
          <w:bCs/>
          <w:spacing w:val="2"/>
        </w:rPr>
        <w:tab/>
      </w:r>
    </w:p>
    <w:p w14:paraId="495D3ADA" w14:textId="6D1B218A" w:rsidR="004934D4" w:rsidRPr="00A05F99" w:rsidRDefault="004934D4" w:rsidP="00844806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  <w:r w:rsidRPr="00A05F99">
        <w:rPr>
          <w:rFonts w:ascii="Verdana" w:eastAsia="Times New Roman" w:hAnsi="Verdana" w:cs="Times New Roman"/>
          <w:bCs/>
          <w:spacing w:val="2"/>
        </w:rPr>
        <w:t>ST</w:t>
      </w:r>
      <w:r w:rsidR="00347603" w:rsidRPr="00A05F99">
        <w:rPr>
          <w:rFonts w:ascii="Verdana" w:eastAsia="Times New Roman" w:hAnsi="Verdana" w:cs="Times New Roman"/>
          <w:bCs/>
          <w:spacing w:val="2"/>
        </w:rPr>
        <w:t xml:space="preserve">: </w:t>
      </w:r>
      <w:r w:rsidRPr="00A05F99">
        <w:rPr>
          <w:rFonts w:ascii="Verdana" w:eastAsia="Times New Roman" w:hAnsi="Verdana" w:cs="Times New Roman"/>
          <w:bCs/>
          <w:spacing w:val="2"/>
        </w:rPr>
        <w:t>Step Therapy</w:t>
      </w:r>
    </w:p>
    <w:p w14:paraId="440A392E" w14:textId="63A1AAD7" w:rsidR="005E2989" w:rsidRDefault="005E2989" w:rsidP="00844806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</w:p>
    <w:tbl>
      <w:tblPr>
        <w:tblStyle w:val="LightList-Accent5"/>
        <w:tblW w:w="10890" w:type="dxa"/>
        <w:tblInd w:w="-95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10890"/>
      </w:tblGrid>
      <w:tr w:rsidR="004B4A2D" w:rsidRPr="00BA7E1A" w14:paraId="39A37783" w14:textId="77777777" w:rsidTr="004A49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shd w:val="clear" w:color="auto" w:fill="00205B"/>
          </w:tcPr>
          <w:p w14:paraId="1C3508E8" w14:textId="7F870EA8" w:rsidR="004B4A2D" w:rsidRPr="007405BD" w:rsidRDefault="004B4A2D" w:rsidP="000972F9">
            <w:pPr>
              <w:spacing w:after="240"/>
              <w:rPr>
                <w:rFonts w:ascii="Verdana" w:hAnsi="Verdana"/>
              </w:rPr>
            </w:pPr>
            <w:r w:rsidRPr="007405BD">
              <w:rPr>
                <w:rFonts w:ascii="Verdana" w:hAnsi="Verdana"/>
              </w:rPr>
              <w:t xml:space="preserve">New </w:t>
            </w:r>
            <w:r w:rsidR="004A4967" w:rsidRPr="007405BD">
              <w:rPr>
                <w:rFonts w:ascii="Verdana" w:hAnsi="Verdana"/>
              </w:rPr>
              <w:t>Drug</w:t>
            </w:r>
            <w:r w:rsidRPr="007405BD">
              <w:rPr>
                <w:rFonts w:ascii="Verdana" w:hAnsi="Verdana"/>
              </w:rPr>
              <w:t xml:space="preserve"> Review</w:t>
            </w:r>
          </w:p>
        </w:tc>
      </w:tr>
    </w:tbl>
    <w:tbl>
      <w:tblPr>
        <w:tblStyle w:val="TableGrid"/>
        <w:tblW w:w="1089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970"/>
        <w:gridCol w:w="3330"/>
        <w:gridCol w:w="3150"/>
        <w:gridCol w:w="1440"/>
      </w:tblGrid>
      <w:tr w:rsidR="00E77836" w14:paraId="28A73A21" w14:textId="77777777" w:rsidTr="00B727CC">
        <w:tc>
          <w:tcPr>
            <w:tcW w:w="2970" w:type="dxa"/>
          </w:tcPr>
          <w:p w14:paraId="4F2C9E27" w14:textId="77777777" w:rsidR="004B4A2D" w:rsidRPr="00A05F99" w:rsidRDefault="004B4A2D" w:rsidP="00FB392C">
            <w:pPr>
              <w:spacing w:after="240"/>
              <w:rPr>
                <w:rFonts w:ascii="Verdana" w:hAnsi="Verdana"/>
              </w:rPr>
            </w:pPr>
            <w:r w:rsidRPr="00A05F99">
              <w:rPr>
                <w:rFonts w:ascii="Verdana" w:hAnsi="Verdana"/>
                <w:b/>
                <w:bCs/>
              </w:rPr>
              <w:t xml:space="preserve">Drug </w:t>
            </w:r>
          </w:p>
        </w:tc>
        <w:tc>
          <w:tcPr>
            <w:tcW w:w="3330" w:type="dxa"/>
          </w:tcPr>
          <w:p w14:paraId="7DBC1588" w14:textId="492A40AC" w:rsidR="004B4A2D" w:rsidRPr="00A05F99" w:rsidRDefault="004B4A2D" w:rsidP="00FB392C">
            <w:pPr>
              <w:spacing w:after="240"/>
              <w:rPr>
                <w:rFonts w:ascii="Verdana" w:hAnsi="Verdana"/>
              </w:rPr>
            </w:pPr>
            <w:r w:rsidRPr="00A05F99">
              <w:rPr>
                <w:rFonts w:ascii="Verdana" w:hAnsi="Verdana"/>
                <w:b/>
                <w:bCs/>
              </w:rPr>
              <w:t>Indication</w:t>
            </w:r>
          </w:p>
        </w:tc>
        <w:tc>
          <w:tcPr>
            <w:tcW w:w="3150" w:type="dxa"/>
          </w:tcPr>
          <w:p w14:paraId="6E42E2D8" w14:textId="302EC425" w:rsidR="004B4A2D" w:rsidRPr="00A05F99" w:rsidRDefault="004B4A2D" w:rsidP="00FB392C">
            <w:pPr>
              <w:spacing w:after="240"/>
              <w:rPr>
                <w:rFonts w:ascii="Verdana" w:hAnsi="Verdana"/>
                <w:b/>
                <w:bCs/>
              </w:rPr>
            </w:pPr>
            <w:r w:rsidRPr="00A05F99">
              <w:rPr>
                <w:rFonts w:ascii="Verdana" w:hAnsi="Verdana"/>
                <w:b/>
                <w:bCs/>
              </w:rPr>
              <w:t>Formulary Coverage</w:t>
            </w:r>
          </w:p>
        </w:tc>
        <w:tc>
          <w:tcPr>
            <w:tcW w:w="1440" w:type="dxa"/>
          </w:tcPr>
          <w:p w14:paraId="3392FAAB" w14:textId="66DD6409" w:rsidR="004B4A2D" w:rsidRPr="00A05F99" w:rsidRDefault="004B4A2D" w:rsidP="00FB392C">
            <w:pPr>
              <w:spacing w:after="240"/>
              <w:rPr>
                <w:rFonts w:ascii="Verdana" w:hAnsi="Verdana"/>
              </w:rPr>
            </w:pPr>
            <w:r w:rsidRPr="00A05F99">
              <w:rPr>
                <w:rFonts w:ascii="Verdana" w:hAnsi="Verdana"/>
                <w:b/>
                <w:bCs/>
              </w:rPr>
              <w:t>Effective Date</w:t>
            </w:r>
          </w:p>
        </w:tc>
      </w:tr>
      <w:tr w:rsidR="0073594F" w:rsidRPr="00852F8C" w14:paraId="2427BC04" w14:textId="77777777" w:rsidTr="00B727CC">
        <w:tc>
          <w:tcPr>
            <w:tcW w:w="2970" w:type="dxa"/>
          </w:tcPr>
          <w:p w14:paraId="326DCCD2" w14:textId="37F19104" w:rsidR="0073594F" w:rsidRPr="007614F2" w:rsidRDefault="00D35DC6" w:rsidP="007405BD">
            <w:pPr>
              <w:rPr>
                <w:rFonts w:ascii="Verdana" w:hAnsi="Verdana" w:cs="Arial"/>
                <w:bCs/>
              </w:rPr>
            </w:pPr>
            <w:r w:rsidRPr="00D35DC6">
              <w:rPr>
                <w:rFonts w:ascii="Verdana" w:hAnsi="Verdana"/>
                <w:b/>
              </w:rPr>
              <w:t>Alyfrek</w:t>
            </w:r>
            <w:r>
              <w:rPr>
                <w:rFonts w:ascii="Verdana" w:hAnsi="Verdana"/>
                <w:bCs/>
              </w:rPr>
              <w:t xml:space="preserve"> (vanzacaftor, tezacaftor, and deutivacaftor)</w:t>
            </w:r>
          </w:p>
        </w:tc>
        <w:tc>
          <w:tcPr>
            <w:tcW w:w="3330" w:type="dxa"/>
          </w:tcPr>
          <w:p w14:paraId="39575D0C" w14:textId="7C346536" w:rsidR="0073594F" w:rsidRPr="00D6763F" w:rsidRDefault="00D35DC6" w:rsidP="0073594F">
            <w:pPr>
              <w:rPr>
                <w:rFonts w:ascii="Verdana" w:eastAsia="Times New Roman" w:hAnsi="Verdana" w:cs="Arial"/>
                <w:bCs/>
              </w:rPr>
            </w:pPr>
            <w:r w:rsidRPr="00D35DC6">
              <w:rPr>
                <w:rFonts w:ascii="Verdana" w:eastAsia="Times New Roman" w:hAnsi="Verdana" w:cs="Arial"/>
                <w:bCs/>
              </w:rPr>
              <w:t>Treatment of cystic fibrosis (CF) in patients 6 years of age and older who have at least one F508del mutation or another responsive mutation in the cystic fibrosis transmembrane conductance regulator (CFTR) gene.</w:t>
            </w:r>
          </w:p>
        </w:tc>
        <w:tc>
          <w:tcPr>
            <w:tcW w:w="3150" w:type="dxa"/>
          </w:tcPr>
          <w:p w14:paraId="22F75EC4" w14:textId="00AC0A94" w:rsidR="0073594F" w:rsidRDefault="00D35DC6" w:rsidP="0073594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Medicare: Formulary</w:t>
            </w:r>
          </w:p>
          <w:p w14:paraId="509F3CCB" w14:textId="66C4951E" w:rsidR="00D35DC6" w:rsidRPr="00B727CC" w:rsidRDefault="00D35DC6" w:rsidP="0073594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Medical Assistance: Formulary</w:t>
            </w:r>
            <w:r>
              <w:rPr>
                <w:rFonts w:ascii="Verdana" w:hAnsi="Verdana"/>
              </w:rPr>
              <w:br/>
              <w:t xml:space="preserve">Exchange: Formulary </w:t>
            </w:r>
          </w:p>
          <w:p w14:paraId="44B475AE" w14:textId="20D84793" w:rsidR="0073594F" w:rsidRPr="00B727CC" w:rsidRDefault="0073594F" w:rsidP="0073594F">
            <w:pPr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00B112B8" w14:textId="3096AD65" w:rsidR="0073594F" w:rsidRPr="00B727CC" w:rsidRDefault="00AE1BF7" w:rsidP="0073594F">
            <w:pPr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>8/1/2025</w:t>
            </w:r>
          </w:p>
        </w:tc>
      </w:tr>
      <w:tr w:rsidR="00D35DC6" w:rsidRPr="00852F8C" w14:paraId="20B223B8" w14:textId="77777777" w:rsidTr="00B727CC">
        <w:tc>
          <w:tcPr>
            <w:tcW w:w="2970" w:type="dxa"/>
          </w:tcPr>
          <w:p w14:paraId="40DC873D" w14:textId="456BF98E" w:rsidR="00D35DC6" w:rsidRDefault="00D35DC6" w:rsidP="007405BD">
            <w:pPr>
              <w:rPr>
                <w:rFonts w:ascii="Verdana" w:hAnsi="Verdana"/>
                <w:bCs/>
              </w:rPr>
            </w:pPr>
            <w:r w:rsidRPr="00D35DC6">
              <w:rPr>
                <w:rFonts w:ascii="Verdana" w:hAnsi="Verdana"/>
                <w:b/>
              </w:rPr>
              <w:t>Itovebi</w:t>
            </w:r>
            <w:r>
              <w:rPr>
                <w:rFonts w:ascii="Verdana" w:hAnsi="Verdana"/>
                <w:bCs/>
              </w:rPr>
              <w:t xml:space="preserve"> (inavolisib) </w:t>
            </w:r>
            <w:r w:rsidR="000972F9">
              <w:rPr>
                <w:rFonts w:ascii="Verdana" w:hAnsi="Verdana"/>
                <w:b/>
                <w:color w:val="FF0000"/>
              </w:rPr>
              <w:t>Protected Class Drug</w:t>
            </w:r>
          </w:p>
        </w:tc>
        <w:tc>
          <w:tcPr>
            <w:tcW w:w="3330" w:type="dxa"/>
          </w:tcPr>
          <w:p w14:paraId="673D0148" w14:textId="557600EC" w:rsidR="00D35DC6" w:rsidRPr="00D35DC6" w:rsidRDefault="00D35DC6" w:rsidP="0073594F">
            <w:pPr>
              <w:rPr>
                <w:rFonts w:ascii="Verdana" w:eastAsia="Times New Roman" w:hAnsi="Verdana" w:cs="Arial"/>
                <w:bCs/>
              </w:rPr>
            </w:pPr>
            <w:r w:rsidRPr="00D35DC6">
              <w:rPr>
                <w:rFonts w:ascii="Verdana" w:eastAsia="Times New Roman" w:hAnsi="Verdana" w:cs="Arial"/>
                <w:bCs/>
              </w:rPr>
              <w:t xml:space="preserve">PIK3CA-mutated, hormone receptor (HR)-positive, human epidermal growth factor receptor 2 (HER2)-negative, locally advanced or metastatic breast cancer (mBC) in combination with palbociclib (Ibrance) and fulvestrant (Faslodex) for the treatment of adults with endocrine-resistant, as detected by an FDA-approved test, following </w:t>
            </w:r>
            <w:r w:rsidRPr="00D35DC6">
              <w:rPr>
                <w:rFonts w:ascii="Verdana" w:eastAsia="Times New Roman" w:hAnsi="Verdana" w:cs="Arial"/>
                <w:bCs/>
              </w:rPr>
              <w:lastRenderedPageBreak/>
              <w:t>recurrence on or after completing adjuvant endocrine therapy.</w:t>
            </w:r>
          </w:p>
        </w:tc>
        <w:tc>
          <w:tcPr>
            <w:tcW w:w="3150" w:type="dxa"/>
          </w:tcPr>
          <w:p w14:paraId="746D3732" w14:textId="5A5955F4" w:rsidR="00D35DC6" w:rsidRDefault="00D35DC6" w:rsidP="00D35D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Medicare: Formulary</w:t>
            </w:r>
          </w:p>
          <w:p w14:paraId="1CEB624A" w14:textId="730B1F4B" w:rsidR="00D35DC6" w:rsidRPr="00B727CC" w:rsidRDefault="00D35DC6" w:rsidP="00D35D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Medical Assistance: Formulary</w:t>
            </w:r>
            <w:r>
              <w:rPr>
                <w:rFonts w:ascii="Verdana" w:hAnsi="Verdana"/>
              </w:rPr>
              <w:br/>
              <w:t>Exchange: Formulary</w:t>
            </w:r>
          </w:p>
          <w:p w14:paraId="2A6703FE" w14:textId="77777777" w:rsidR="00D35DC6" w:rsidRDefault="00D35DC6" w:rsidP="0073594F">
            <w:pPr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4D110323" w14:textId="5F7553BC" w:rsidR="00D35DC6" w:rsidRDefault="00AE1BF7" w:rsidP="0073594F">
            <w:pPr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>8/1/2025</w:t>
            </w:r>
          </w:p>
        </w:tc>
      </w:tr>
      <w:tr w:rsidR="00D35DC6" w:rsidRPr="00852F8C" w14:paraId="3CA02AD1" w14:textId="77777777" w:rsidTr="00B727CC">
        <w:tc>
          <w:tcPr>
            <w:tcW w:w="2970" w:type="dxa"/>
          </w:tcPr>
          <w:p w14:paraId="57F8B136" w14:textId="01AB2BCB" w:rsidR="00D35DC6" w:rsidRDefault="00D35DC6" w:rsidP="007405BD">
            <w:pPr>
              <w:rPr>
                <w:rFonts w:ascii="Verdana" w:hAnsi="Verdana"/>
                <w:bCs/>
              </w:rPr>
            </w:pPr>
            <w:r w:rsidRPr="00D35DC6">
              <w:rPr>
                <w:rFonts w:ascii="Verdana" w:hAnsi="Verdana"/>
                <w:b/>
              </w:rPr>
              <w:t>Sofdra</w:t>
            </w:r>
            <w:r>
              <w:rPr>
                <w:rFonts w:ascii="Verdana" w:hAnsi="Verdana"/>
                <w:bCs/>
              </w:rPr>
              <w:t xml:space="preserve"> (sofprionium)</w:t>
            </w:r>
          </w:p>
        </w:tc>
        <w:tc>
          <w:tcPr>
            <w:tcW w:w="3330" w:type="dxa"/>
          </w:tcPr>
          <w:p w14:paraId="7AB355C1" w14:textId="1A6C4CAD" w:rsidR="00D35DC6" w:rsidRPr="00D35DC6" w:rsidRDefault="00D35DC6" w:rsidP="0073594F">
            <w:pPr>
              <w:rPr>
                <w:rFonts w:ascii="Verdana" w:eastAsia="Times New Roman" w:hAnsi="Verdana" w:cs="Arial"/>
                <w:bCs/>
              </w:rPr>
            </w:pPr>
            <w:r w:rsidRPr="008115D6">
              <w:rPr>
                <w:rFonts w:ascii="Verdana" w:hAnsi="Verdana"/>
                <w:bCs/>
              </w:rPr>
              <w:t>Hyperhidrosis of axilla</w:t>
            </w:r>
          </w:p>
        </w:tc>
        <w:tc>
          <w:tcPr>
            <w:tcW w:w="3150" w:type="dxa"/>
          </w:tcPr>
          <w:p w14:paraId="63933898" w14:textId="77777777" w:rsidR="00D35DC6" w:rsidRDefault="00D35DC6" w:rsidP="00D35D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Medicare: Non-Formulary </w:t>
            </w:r>
          </w:p>
          <w:p w14:paraId="6D98CD4A" w14:textId="77777777" w:rsidR="00D35DC6" w:rsidRDefault="00D35DC6" w:rsidP="00D35D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Medical Assistance: Non-Formulary</w:t>
            </w:r>
          </w:p>
          <w:p w14:paraId="4CEDD7F4" w14:textId="68202A08" w:rsidR="00D35DC6" w:rsidRDefault="00D35DC6" w:rsidP="00D35D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Exchange: Non-Formulary</w:t>
            </w:r>
          </w:p>
        </w:tc>
        <w:tc>
          <w:tcPr>
            <w:tcW w:w="1440" w:type="dxa"/>
          </w:tcPr>
          <w:p w14:paraId="5B829BCF" w14:textId="4A48DA72" w:rsidR="00D35DC6" w:rsidRDefault="00D35DC6" w:rsidP="0073594F">
            <w:pPr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>N/A</w:t>
            </w:r>
          </w:p>
        </w:tc>
      </w:tr>
      <w:tr w:rsidR="00D35DC6" w:rsidRPr="00852F8C" w14:paraId="19B046FD" w14:textId="77777777" w:rsidTr="00B727CC">
        <w:tc>
          <w:tcPr>
            <w:tcW w:w="2970" w:type="dxa"/>
          </w:tcPr>
          <w:p w14:paraId="4B14AF49" w14:textId="4AFB35B9" w:rsidR="00D35DC6" w:rsidRDefault="00D35DC6" w:rsidP="007405BD">
            <w:pPr>
              <w:rPr>
                <w:rFonts w:ascii="Verdana" w:hAnsi="Verdana"/>
                <w:bCs/>
              </w:rPr>
            </w:pPr>
            <w:r w:rsidRPr="00D35DC6">
              <w:rPr>
                <w:rFonts w:ascii="Verdana" w:hAnsi="Verdana"/>
                <w:b/>
              </w:rPr>
              <w:t>Cobenfy</w:t>
            </w:r>
            <w:r>
              <w:rPr>
                <w:rFonts w:ascii="Verdana" w:hAnsi="Verdana"/>
                <w:bCs/>
              </w:rPr>
              <w:t xml:space="preserve"> (xanomeline/trospium)</w:t>
            </w:r>
          </w:p>
        </w:tc>
        <w:tc>
          <w:tcPr>
            <w:tcW w:w="3330" w:type="dxa"/>
          </w:tcPr>
          <w:p w14:paraId="73956094" w14:textId="0DE0E53A" w:rsidR="00D35DC6" w:rsidRPr="00D35DC6" w:rsidRDefault="00D35DC6" w:rsidP="0073594F">
            <w:pPr>
              <w:rPr>
                <w:rFonts w:ascii="Verdana" w:eastAsia="Times New Roman" w:hAnsi="Verdana" w:cs="Arial"/>
                <w:bCs/>
              </w:rPr>
            </w:pPr>
            <w:r>
              <w:rPr>
                <w:rFonts w:ascii="Verdana" w:eastAsia="Times New Roman" w:hAnsi="Verdana" w:cs="Arial"/>
                <w:bCs/>
              </w:rPr>
              <w:t>Treatment of schizophrenia in adults</w:t>
            </w:r>
          </w:p>
        </w:tc>
        <w:tc>
          <w:tcPr>
            <w:tcW w:w="3150" w:type="dxa"/>
          </w:tcPr>
          <w:p w14:paraId="64F82E3B" w14:textId="77777777" w:rsidR="00D35DC6" w:rsidRDefault="00D35DC6" w:rsidP="00D35D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Medicare: Formulary</w:t>
            </w:r>
          </w:p>
          <w:p w14:paraId="1F2F0C2A" w14:textId="77777777" w:rsidR="00D35DC6" w:rsidRDefault="00D35DC6" w:rsidP="00D35D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Medical Assistance: Non-Preferred</w:t>
            </w:r>
          </w:p>
          <w:p w14:paraId="44A6FE88" w14:textId="3DBDC174" w:rsidR="00D35DC6" w:rsidRDefault="00D35DC6" w:rsidP="00D35D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Exchange: Non-Formulary</w:t>
            </w:r>
          </w:p>
        </w:tc>
        <w:tc>
          <w:tcPr>
            <w:tcW w:w="1440" w:type="dxa"/>
          </w:tcPr>
          <w:p w14:paraId="557F8F7B" w14:textId="0F6A7C12" w:rsidR="00D35DC6" w:rsidRDefault="00AE1BF7" w:rsidP="0073594F">
            <w:pPr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>8/1/2025</w:t>
            </w:r>
          </w:p>
        </w:tc>
      </w:tr>
      <w:tr w:rsidR="00D35DC6" w:rsidRPr="00852F8C" w14:paraId="0298E8EE" w14:textId="77777777" w:rsidTr="00B727CC">
        <w:tc>
          <w:tcPr>
            <w:tcW w:w="2970" w:type="dxa"/>
          </w:tcPr>
          <w:p w14:paraId="0F2274AA" w14:textId="338177A6" w:rsidR="00D35DC6" w:rsidRPr="00D35DC6" w:rsidRDefault="00D35DC6" w:rsidP="007405BD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/>
              </w:rPr>
              <w:t xml:space="preserve">Tryvio </w:t>
            </w:r>
            <w:r>
              <w:rPr>
                <w:rFonts w:ascii="Verdana" w:hAnsi="Verdana"/>
                <w:bCs/>
              </w:rPr>
              <w:t>(aprocitentan)</w:t>
            </w:r>
          </w:p>
        </w:tc>
        <w:tc>
          <w:tcPr>
            <w:tcW w:w="3330" w:type="dxa"/>
          </w:tcPr>
          <w:p w14:paraId="37E2659D" w14:textId="58F2CE49" w:rsidR="00D35DC6" w:rsidRDefault="00D35DC6" w:rsidP="0073594F">
            <w:pPr>
              <w:rPr>
                <w:rFonts w:ascii="Verdana" w:eastAsia="Times New Roman" w:hAnsi="Verdana" w:cs="Arial"/>
                <w:bCs/>
              </w:rPr>
            </w:pPr>
            <w:r w:rsidRPr="00D50E62">
              <w:rPr>
                <w:rFonts w:ascii="Verdana" w:hAnsi="Verdana"/>
                <w:bCs/>
              </w:rPr>
              <w:t>Treatment of hypertension (HTN) in combination with other antihypertensive drugs, to lower blood pressure (BP) in adults who are not adequately controlled on other drugs.</w:t>
            </w:r>
          </w:p>
        </w:tc>
        <w:tc>
          <w:tcPr>
            <w:tcW w:w="3150" w:type="dxa"/>
          </w:tcPr>
          <w:p w14:paraId="1C941886" w14:textId="77777777" w:rsidR="00D35DC6" w:rsidRDefault="00D35DC6" w:rsidP="00D35D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Medicare: Non-Formulary </w:t>
            </w:r>
          </w:p>
          <w:p w14:paraId="787D7BBB" w14:textId="77777777" w:rsidR="00D35DC6" w:rsidRDefault="00D35DC6" w:rsidP="00D35D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Medical Assistance: Non-Formulary</w:t>
            </w:r>
          </w:p>
          <w:p w14:paraId="0361194C" w14:textId="0100B7D6" w:rsidR="00D35DC6" w:rsidRDefault="00D35DC6" w:rsidP="00D35D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Exchange: Non-Formulary</w:t>
            </w:r>
          </w:p>
        </w:tc>
        <w:tc>
          <w:tcPr>
            <w:tcW w:w="1440" w:type="dxa"/>
          </w:tcPr>
          <w:p w14:paraId="3F14233E" w14:textId="3D8ED9FA" w:rsidR="00D35DC6" w:rsidRDefault="00D35DC6" w:rsidP="0073594F">
            <w:pPr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>N/A</w:t>
            </w:r>
          </w:p>
        </w:tc>
      </w:tr>
      <w:tr w:rsidR="00D35DC6" w:rsidRPr="00852F8C" w14:paraId="6D8F946A" w14:textId="77777777" w:rsidTr="00B727CC">
        <w:tc>
          <w:tcPr>
            <w:tcW w:w="2970" w:type="dxa"/>
          </w:tcPr>
          <w:p w14:paraId="09DF9647" w14:textId="39E0E622" w:rsidR="00D35DC6" w:rsidRPr="00D35DC6" w:rsidRDefault="00D35DC6" w:rsidP="007405BD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/>
              </w:rPr>
              <w:t xml:space="preserve">Agneursa </w:t>
            </w:r>
            <w:r>
              <w:rPr>
                <w:rFonts w:ascii="Verdana" w:hAnsi="Verdana"/>
                <w:bCs/>
              </w:rPr>
              <w:t>(levacetylleucine)</w:t>
            </w:r>
          </w:p>
        </w:tc>
        <w:tc>
          <w:tcPr>
            <w:tcW w:w="3330" w:type="dxa"/>
          </w:tcPr>
          <w:p w14:paraId="6194D1BF" w14:textId="65BAB7AA" w:rsidR="00D35DC6" w:rsidRPr="00D50E62" w:rsidRDefault="00D35DC6" w:rsidP="0073594F">
            <w:pPr>
              <w:rPr>
                <w:rFonts w:ascii="Verdana" w:hAnsi="Verdana"/>
                <w:bCs/>
              </w:rPr>
            </w:pPr>
            <w:r w:rsidRPr="00D50E62">
              <w:rPr>
                <w:rFonts w:ascii="Verdana" w:hAnsi="Verdana"/>
                <w:bCs/>
              </w:rPr>
              <w:t>Aqneursa is indicated for the treatment of neurological manifestations of NiemannPick disease type C (NPC) in adults and pediatric patients weighing ≥15 kg.</w:t>
            </w:r>
          </w:p>
        </w:tc>
        <w:tc>
          <w:tcPr>
            <w:tcW w:w="3150" w:type="dxa"/>
          </w:tcPr>
          <w:p w14:paraId="2264F142" w14:textId="77777777" w:rsidR="00D35DC6" w:rsidRDefault="00D35DC6" w:rsidP="00D35D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Medicare: Non-Formulary </w:t>
            </w:r>
          </w:p>
          <w:p w14:paraId="1588322B" w14:textId="77777777" w:rsidR="00D35DC6" w:rsidRDefault="00D35DC6" w:rsidP="00D35D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Medical Assistance: Non-Formulary</w:t>
            </w:r>
          </w:p>
          <w:p w14:paraId="253F6FD2" w14:textId="24F95026" w:rsidR="00D35DC6" w:rsidRDefault="00D35DC6" w:rsidP="00D35D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Exchange: Non-Formulary</w:t>
            </w:r>
          </w:p>
        </w:tc>
        <w:tc>
          <w:tcPr>
            <w:tcW w:w="1440" w:type="dxa"/>
          </w:tcPr>
          <w:p w14:paraId="0DB18031" w14:textId="609EB1ED" w:rsidR="00D35DC6" w:rsidRDefault="00D35DC6" w:rsidP="0073594F">
            <w:pPr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>N/A</w:t>
            </w:r>
          </w:p>
        </w:tc>
      </w:tr>
      <w:tr w:rsidR="00D35DC6" w:rsidRPr="00852F8C" w14:paraId="3EF3F058" w14:textId="77777777" w:rsidTr="00B727CC">
        <w:tc>
          <w:tcPr>
            <w:tcW w:w="2970" w:type="dxa"/>
          </w:tcPr>
          <w:p w14:paraId="6785EC52" w14:textId="6CB2DCFA" w:rsidR="00D35DC6" w:rsidRPr="00D35DC6" w:rsidRDefault="00D35DC6" w:rsidP="007405BD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/>
              </w:rPr>
              <w:t xml:space="preserve">Miplyffa </w:t>
            </w:r>
            <w:r>
              <w:rPr>
                <w:rFonts w:ascii="Verdana" w:hAnsi="Verdana"/>
                <w:bCs/>
              </w:rPr>
              <w:t>(arimoclomol)</w:t>
            </w:r>
          </w:p>
        </w:tc>
        <w:tc>
          <w:tcPr>
            <w:tcW w:w="3330" w:type="dxa"/>
          </w:tcPr>
          <w:p w14:paraId="17C7E507" w14:textId="196EDEB8" w:rsidR="00D35DC6" w:rsidRPr="00D50E62" w:rsidRDefault="00D35DC6" w:rsidP="0073594F">
            <w:pPr>
              <w:rPr>
                <w:rFonts w:ascii="Verdana" w:hAnsi="Verdana"/>
                <w:bCs/>
              </w:rPr>
            </w:pPr>
            <w:r w:rsidRPr="00D50E62">
              <w:rPr>
                <w:rFonts w:ascii="Verdana" w:hAnsi="Verdana"/>
                <w:bCs/>
              </w:rPr>
              <w:t>Miplyffa is indicated for use in combination with miglustat for the treatment of neurological manifestations of Niemann-Pick disease type C (NPC) in adult and pediatric patients 2 years of age and older.</w:t>
            </w:r>
          </w:p>
        </w:tc>
        <w:tc>
          <w:tcPr>
            <w:tcW w:w="3150" w:type="dxa"/>
          </w:tcPr>
          <w:p w14:paraId="779D195A" w14:textId="77777777" w:rsidR="00D35DC6" w:rsidRDefault="00D35DC6" w:rsidP="00D35D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Medicare: Non-Formulary </w:t>
            </w:r>
          </w:p>
          <w:p w14:paraId="60E2944B" w14:textId="77777777" w:rsidR="00D35DC6" w:rsidRDefault="00D35DC6" w:rsidP="00D35D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Medical Assistance: Non-Formulary</w:t>
            </w:r>
          </w:p>
          <w:p w14:paraId="6AA9EBD9" w14:textId="6F5FF229" w:rsidR="00D35DC6" w:rsidRDefault="00D35DC6" w:rsidP="00D35D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Exchange: Non-Formulary</w:t>
            </w:r>
          </w:p>
        </w:tc>
        <w:tc>
          <w:tcPr>
            <w:tcW w:w="1440" w:type="dxa"/>
          </w:tcPr>
          <w:p w14:paraId="13C9C76A" w14:textId="792DF138" w:rsidR="00D35DC6" w:rsidRDefault="00D35DC6" w:rsidP="0073594F">
            <w:pPr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>N/A</w:t>
            </w:r>
          </w:p>
        </w:tc>
      </w:tr>
    </w:tbl>
    <w:p w14:paraId="36A9C293" w14:textId="77777777" w:rsidR="00255A16" w:rsidRDefault="00255A16" w:rsidP="00E32DDA">
      <w:pPr>
        <w:rPr>
          <w:rFonts w:ascii="Verdana" w:eastAsia="Times New Roman" w:hAnsi="Verdana" w:cs="Arial"/>
          <w:b/>
          <w:sz w:val="20"/>
          <w:szCs w:val="20"/>
        </w:rPr>
      </w:pPr>
      <w:bookmarkStart w:id="0" w:name="_Hlk65757423"/>
    </w:p>
    <w:p w14:paraId="7E931008" w14:textId="77777777" w:rsidR="00D35DC6" w:rsidRDefault="00D35DC6" w:rsidP="00E32DDA">
      <w:pPr>
        <w:rPr>
          <w:rFonts w:ascii="Verdana" w:eastAsia="Times New Roman" w:hAnsi="Verdana" w:cs="Arial"/>
          <w:b/>
          <w:sz w:val="20"/>
          <w:szCs w:val="20"/>
        </w:rPr>
      </w:pPr>
    </w:p>
    <w:tbl>
      <w:tblPr>
        <w:tblStyle w:val="LightList-Accent5"/>
        <w:tblW w:w="10885" w:type="dxa"/>
        <w:tblInd w:w="-95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10885"/>
      </w:tblGrid>
      <w:tr w:rsidR="00D35DC6" w:rsidRPr="00852F8C" w14:paraId="4B5D57DA" w14:textId="77777777" w:rsidTr="005462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shd w:val="clear" w:color="auto" w:fill="00205B"/>
          </w:tcPr>
          <w:p w14:paraId="34160227" w14:textId="5A518869" w:rsidR="00D35DC6" w:rsidRPr="000972F9" w:rsidRDefault="00D35DC6" w:rsidP="000972F9">
            <w:pPr>
              <w:spacing w:after="240"/>
              <w:rPr>
                <w:rFonts w:ascii="Verdana" w:eastAsia="Times New Roman" w:hAnsi="Verdana" w:cs="Arial"/>
              </w:rPr>
            </w:pPr>
            <w:bookmarkStart w:id="1" w:name="_Hlk98851985"/>
            <w:r w:rsidRPr="000972F9">
              <w:rPr>
                <w:rFonts w:ascii="Verdana" w:eastAsia="Times New Roman" w:hAnsi="Verdana" w:cs="Arial"/>
              </w:rPr>
              <w:t>New Indications Review</w:t>
            </w:r>
          </w:p>
        </w:tc>
      </w:tr>
    </w:tbl>
    <w:tbl>
      <w:tblPr>
        <w:tblStyle w:val="TableGrid"/>
        <w:tblW w:w="10917" w:type="dxa"/>
        <w:tblInd w:w="-95" w:type="dxa"/>
        <w:tblLook w:val="04A0" w:firstRow="1" w:lastRow="0" w:firstColumn="1" w:lastColumn="0" w:noHBand="0" w:noVBand="1"/>
      </w:tblPr>
      <w:tblGrid>
        <w:gridCol w:w="3029"/>
        <w:gridCol w:w="3271"/>
        <w:gridCol w:w="4617"/>
      </w:tblGrid>
      <w:tr w:rsidR="00D35DC6" w:rsidRPr="00852F8C" w14:paraId="784BFC11" w14:textId="77777777" w:rsidTr="000972F9">
        <w:trPr>
          <w:trHeight w:val="566"/>
        </w:trPr>
        <w:tc>
          <w:tcPr>
            <w:tcW w:w="3029" w:type="dxa"/>
          </w:tcPr>
          <w:p w14:paraId="57001D30" w14:textId="77777777" w:rsidR="00D35DC6" w:rsidRPr="000972F9" w:rsidRDefault="00D35DC6" w:rsidP="005462E3">
            <w:pPr>
              <w:spacing w:after="240"/>
              <w:rPr>
                <w:rFonts w:ascii="Verdana" w:eastAsia="Times New Roman" w:hAnsi="Verdana" w:cs="Arial"/>
              </w:rPr>
            </w:pPr>
            <w:r w:rsidRPr="000972F9">
              <w:rPr>
                <w:rFonts w:ascii="Verdana" w:hAnsi="Verdana"/>
                <w:b/>
                <w:bCs/>
              </w:rPr>
              <w:t>Drug</w:t>
            </w:r>
          </w:p>
        </w:tc>
        <w:tc>
          <w:tcPr>
            <w:tcW w:w="3271" w:type="dxa"/>
          </w:tcPr>
          <w:p w14:paraId="3A6C8FDB" w14:textId="77777777" w:rsidR="00D35DC6" w:rsidRPr="000972F9" w:rsidRDefault="00D35DC6" w:rsidP="005462E3">
            <w:pPr>
              <w:spacing w:after="240"/>
              <w:rPr>
                <w:rFonts w:ascii="Verdana" w:eastAsia="Times New Roman" w:hAnsi="Verdana" w:cs="Arial"/>
              </w:rPr>
            </w:pPr>
            <w:r w:rsidRPr="000972F9">
              <w:rPr>
                <w:rFonts w:ascii="Verdana" w:hAnsi="Verdana"/>
                <w:b/>
              </w:rPr>
              <w:t>Current formulary status</w:t>
            </w:r>
          </w:p>
        </w:tc>
        <w:tc>
          <w:tcPr>
            <w:tcW w:w="4617" w:type="dxa"/>
          </w:tcPr>
          <w:p w14:paraId="71D7A118" w14:textId="77777777" w:rsidR="00D35DC6" w:rsidRPr="000972F9" w:rsidRDefault="00D35DC6" w:rsidP="005462E3">
            <w:pPr>
              <w:spacing w:after="240"/>
              <w:rPr>
                <w:rFonts w:ascii="Verdana" w:eastAsia="Times New Roman" w:hAnsi="Verdana" w:cs="Arial"/>
              </w:rPr>
            </w:pPr>
            <w:r w:rsidRPr="000972F9">
              <w:rPr>
                <w:rFonts w:ascii="Verdana" w:hAnsi="Verdana"/>
                <w:b/>
              </w:rPr>
              <w:t>Recommendation</w:t>
            </w:r>
          </w:p>
        </w:tc>
      </w:tr>
      <w:bookmarkEnd w:id="1"/>
      <w:tr w:rsidR="00D35DC6" w:rsidRPr="00852F8C" w14:paraId="6923542F" w14:textId="77777777" w:rsidTr="000972F9">
        <w:tc>
          <w:tcPr>
            <w:tcW w:w="3029" w:type="dxa"/>
            <w:shd w:val="clear" w:color="auto" w:fill="auto"/>
          </w:tcPr>
          <w:p w14:paraId="16121D2D" w14:textId="5AF042EE" w:rsidR="00D35DC6" w:rsidRPr="00021C33" w:rsidRDefault="004B5C11" w:rsidP="005462E3">
            <w:pPr>
              <w:rPr>
                <w:rFonts w:ascii="Verdana" w:hAnsi="Verdana"/>
              </w:rPr>
            </w:pPr>
            <w:r w:rsidRPr="00D50E62">
              <w:rPr>
                <w:rFonts w:ascii="Verdana" w:hAnsi="Verdana"/>
                <w:b/>
                <w:bCs/>
              </w:rPr>
              <w:t xml:space="preserve">Odefsey </w:t>
            </w:r>
            <w:r w:rsidRPr="00D50E62">
              <w:rPr>
                <w:rFonts w:ascii="Verdana" w:hAnsi="Verdana"/>
              </w:rPr>
              <w:t xml:space="preserve">(emtricitambine-rilpivirine-tenofovir alafenamide) 200-25-25 mg tablets for HIV in </w:t>
            </w:r>
            <w:r w:rsidRPr="00D50E62">
              <w:rPr>
                <w:rFonts w:ascii="Verdana" w:hAnsi="Verdana"/>
              </w:rPr>
              <w:lastRenderedPageBreak/>
              <w:t>adults and pediatric patients weighing ≥ 25 kg indication expansion</w:t>
            </w:r>
          </w:p>
        </w:tc>
        <w:tc>
          <w:tcPr>
            <w:tcW w:w="3271" w:type="dxa"/>
            <w:shd w:val="clear" w:color="auto" w:fill="auto"/>
          </w:tcPr>
          <w:p w14:paraId="2D05A6E9" w14:textId="423820F5" w:rsidR="00D35DC6" w:rsidRPr="00AF03AD" w:rsidRDefault="004B5C11" w:rsidP="00D35DC6">
            <w:pPr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lastRenderedPageBreak/>
              <w:t>F: all lines of business</w:t>
            </w:r>
          </w:p>
        </w:tc>
        <w:tc>
          <w:tcPr>
            <w:tcW w:w="4617" w:type="dxa"/>
            <w:shd w:val="clear" w:color="auto" w:fill="auto"/>
          </w:tcPr>
          <w:p w14:paraId="6D0B64B5" w14:textId="7C679455" w:rsidR="00D35DC6" w:rsidRPr="00AF03AD" w:rsidRDefault="004B5C11" w:rsidP="00D35DC6">
            <w:pPr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>No change</w:t>
            </w:r>
          </w:p>
        </w:tc>
      </w:tr>
      <w:tr w:rsidR="00DA6D2B" w:rsidRPr="00852F8C" w14:paraId="5F1E41DC" w14:textId="77777777" w:rsidTr="000972F9">
        <w:trPr>
          <w:trHeight w:val="503"/>
        </w:trPr>
        <w:tc>
          <w:tcPr>
            <w:tcW w:w="3029" w:type="dxa"/>
            <w:shd w:val="clear" w:color="auto" w:fill="auto"/>
          </w:tcPr>
          <w:p w14:paraId="0B618697" w14:textId="021769FC" w:rsidR="00DA6D2B" w:rsidRPr="0000785E" w:rsidRDefault="00DA6D2B" w:rsidP="00DA6D2B">
            <w:pPr>
              <w:rPr>
                <w:rFonts w:ascii="Verdana" w:hAnsi="Verdana"/>
              </w:rPr>
            </w:pPr>
            <w:r w:rsidRPr="00D50E62">
              <w:rPr>
                <w:rFonts w:ascii="Verdana" w:hAnsi="Verdana"/>
                <w:b/>
                <w:bCs/>
              </w:rPr>
              <w:t>Sublocade</w:t>
            </w:r>
            <w:r w:rsidRPr="00D50E62">
              <w:rPr>
                <w:rFonts w:ascii="Verdana" w:hAnsi="Verdana"/>
              </w:rPr>
              <w:t xml:space="preserve"> (buprenorphine ER) 100 mg/0.5 mL &amp; 300 mg/1.5 mL SQ syringes for moderate to severe opioid use disorder in patients who have initiated treatment with a single dose of transmucosal buprenorphine or are already being treated with buprenorphine indication expansion</w:t>
            </w:r>
          </w:p>
        </w:tc>
        <w:tc>
          <w:tcPr>
            <w:tcW w:w="3271" w:type="dxa"/>
            <w:shd w:val="clear" w:color="auto" w:fill="auto"/>
          </w:tcPr>
          <w:p w14:paraId="30E83CF9" w14:textId="77777777" w:rsidR="00DA6D2B" w:rsidRDefault="00DA6D2B" w:rsidP="00DA6D2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Medicare, PPO, IFP</w:t>
            </w:r>
          </w:p>
          <w:p w14:paraId="5877DC5F" w14:textId="77777777" w:rsidR="00DA6D2B" w:rsidRDefault="00DA6D2B" w:rsidP="00DA6D2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NP: Medicaid</w:t>
            </w:r>
          </w:p>
          <w:p w14:paraId="3774F778" w14:textId="6EAD6E0D" w:rsidR="00DA6D2B" w:rsidRPr="00AF03AD" w:rsidRDefault="00DA6D2B" w:rsidP="00DA6D2B">
            <w:pPr>
              <w:rPr>
                <w:rFonts w:ascii="Verdana" w:hAnsi="Verdana"/>
              </w:rPr>
            </w:pPr>
          </w:p>
        </w:tc>
        <w:tc>
          <w:tcPr>
            <w:tcW w:w="4617" w:type="dxa"/>
            <w:shd w:val="clear" w:color="auto" w:fill="auto"/>
          </w:tcPr>
          <w:p w14:paraId="33F52878" w14:textId="4C50D4CA" w:rsidR="00DA6D2B" w:rsidRPr="00AF03AD" w:rsidRDefault="00DA6D2B" w:rsidP="00DA6D2B">
            <w:pPr>
              <w:rPr>
                <w:rFonts w:ascii="Verdana" w:hAnsi="Verdana"/>
              </w:rPr>
            </w:pPr>
            <w:r>
              <w:rPr>
                <w:rFonts w:ascii="Verdana" w:eastAsia="Times New Roman" w:hAnsi="Verdana" w:cs="Arial"/>
              </w:rPr>
              <w:t>No change</w:t>
            </w:r>
          </w:p>
        </w:tc>
      </w:tr>
      <w:tr w:rsidR="00DA6D2B" w:rsidRPr="00852F8C" w14:paraId="4605D9A2" w14:textId="77777777" w:rsidTr="000972F9">
        <w:tc>
          <w:tcPr>
            <w:tcW w:w="3029" w:type="dxa"/>
            <w:shd w:val="clear" w:color="auto" w:fill="auto"/>
          </w:tcPr>
          <w:p w14:paraId="4B3FA443" w14:textId="4320734A" w:rsidR="00DA6D2B" w:rsidRPr="0000785E" w:rsidRDefault="00DA6D2B" w:rsidP="00DA6D2B">
            <w:pPr>
              <w:rPr>
                <w:rFonts w:ascii="Verdana" w:hAnsi="Verdana"/>
              </w:rPr>
            </w:pPr>
            <w:r w:rsidRPr="00D50E62">
              <w:rPr>
                <w:rFonts w:ascii="Verdana" w:hAnsi="Verdana"/>
                <w:b/>
                <w:bCs/>
              </w:rPr>
              <w:t>Adcetris</w:t>
            </w:r>
            <w:r w:rsidRPr="00D50E62">
              <w:rPr>
                <w:rFonts w:ascii="Verdana" w:hAnsi="Verdana"/>
              </w:rPr>
              <w:t xml:space="preserve"> (brentuximab vedotin) IV vial in combination with lenalidomide and rituximab for relapsed or refractory large B-cell lymphoma</w:t>
            </w:r>
          </w:p>
        </w:tc>
        <w:tc>
          <w:tcPr>
            <w:tcW w:w="3271" w:type="dxa"/>
            <w:shd w:val="clear" w:color="auto" w:fill="auto"/>
          </w:tcPr>
          <w:p w14:paraId="5687CB32" w14:textId="52E0501F" w:rsidR="00DA6D2B" w:rsidRPr="00AF03AD" w:rsidRDefault="00DA6D2B" w:rsidP="00DA6D2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</w:tc>
        <w:tc>
          <w:tcPr>
            <w:tcW w:w="4617" w:type="dxa"/>
            <w:shd w:val="clear" w:color="auto" w:fill="auto"/>
          </w:tcPr>
          <w:p w14:paraId="1E3A84D0" w14:textId="5AC6446F" w:rsidR="00DA6D2B" w:rsidRPr="00AF03AD" w:rsidRDefault="00DA6D2B" w:rsidP="00DA6D2B">
            <w:pPr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>No change</w:t>
            </w:r>
          </w:p>
        </w:tc>
      </w:tr>
      <w:tr w:rsidR="00DA6D2B" w:rsidRPr="00852F8C" w14:paraId="50EE0475" w14:textId="77777777" w:rsidTr="000972F9">
        <w:tc>
          <w:tcPr>
            <w:tcW w:w="3029" w:type="dxa"/>
            <w:shd w:val="clear" w:color="auto" w:fill="auto"/>
          </w:tcPr>
          <w:p w14:paraId="2BE0081B" w14:textId="4C4ABDF6" w:rsidR="00DA6D2B" w:rsidRPr="0000785E" w:rsidRDefault="00DA6D2B" w:rsidP="00DA6D2B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</w:pPr>
            <w:r w:rsidRPr="00D50E62">
              <w:rPr>
                <w:rFonts w:ascii="Verdana" w:hAnsi="Verdana"/>
                <w:b/>
                <w:bCs/>
                <w:sz w:val="22"/>
                <w:szCs w:val="22"/>
              </w:rPr>
              <w:t xml:space="preserve">Tevimbra </w:t>
            </w:r>
            <w:r w:rsidRPr="00D50E62">
              <w:rPr>
                <w:rFonts w:ascii="Verdana" w:hAnsi="Verdana"/>
                <w:sz w:val="22"/>
                <w:szCs w:val="22"/>
              </w:rPr>
              <w:t>(tislelizumab) in combination with platinum-containing chemotherapy for the first-line treatment of unresectable or metastatic esophageal squamous cell carcinoma whose tumors express PD-L1 (≥ 1)</w:t>
            </w:r>
          </w:p>
        </w:tc>
        <w:tc>
          <w:tcPr>
            <w:tcW w:w="3271" w:type="dxa"/>
            <w:shd w:val="clear" w:color="auto" w:fill="auto"/>
          </w:tcPr>
          <w:p w14:paraId="4088A855" w14:textId="1D9E9B2E" w:rsidR="00DA6D2B" w:rsidRPr="00AF03AD" w:rsidRDefault="00DA6D2B" w:rsidP="00DA6D2B">
            <w:pPr>
              <w:rPr>
                <w:rFonts w:ascii="Verdana" w:eastAsia="Times New Roman" w:hAnsi="Verdana" w:cs="Arial"/>
              </w:rPr>
            </w:pPr>
            <w:r>
              <w:rPr>
                <w:rFonts w:ascii="Verdana" w:hAnsi="Verdana"/>
              </w:rPr>
              <w:t>NF: All lines of business</w:t>
            </w:r>
          </w:p>
        </w:tc>
        <w:tc>
          <w:tcPr>
            <w:tcW w:w="4617" w:type="dxa"/>
            <w:shd w:val="clear" w:color="auto" w:fill="auto"/>
          </w:tcPr>
          <w:p w14:paraId="2930D1D1" w14:textId="1F9FB1DB" w:rsidR="00DA6D2B" w:rsidRPr="00AF03AD" w:rsidRDefault="00DA6D2B" w:rsidP="00DA6D2B">
            <w:pPr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>No change</w:t>
            </w:r>
          </w:p>
        </w:tc>
      </w:tr>
      <w:tr w:rsidR="00DA6D2B" w:rsidRPr="00852F8C" w14:paraId="467A747A" w14:textId="77777777" w:rsidTr="000972F9">
        <w:tc>
          <w:tcPr>
            <w:tcW w:w="3029" w:type="dxa"/>
            <w:shd w:val="clear" w:color="auto" w:fill="auto"/>
          </w:tcPr>
          <w:p w14:paraId="3AC09A65" w14:textId="524BEE39" w:rsidR="00DA6D2B" w:rsidRPr="0000785E" w:rsidRDefault="00DA6D2B" w:rsidP="00DA6D2B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</w:pPr>
            <w:r w:rsidRPr="00D50E62">
              <w:rPr>
                <w:rFonts w:ascii="Verdana" w:hAnsi="Verdana"/>
                <w:b/>
                <w:bCs/>
                <w:sz w:val="22"/>
                <w:szCs w:val="22"/>
              </w:rPr>
              <w:t>Furoscix</w:t>
            </w:r>
            <w:r w:rsidRPr="00D50E62">
              <w:rPr>
                <w:rFonts w:ascii="Verdana" w:hAnsi="Verdana"/>
                <w:sz w:val="22"/>
                <w:szCs w:val="22"/>
              </w:rPr>
              <w:t xml:space="preserve"> (furosemide) 80 mg/10 mL SQ On-body infusor for edema in adults with chronic kidney disease, including nephrotic syndrome</w:t>
            </w:r>
          </w:p>
        </w:tc>
        <w:tc>
          <w:tcPr>
            <w:tcW w:w="3271" w:type="dxa"/>
            <w:shd w:val="clear" w:color="auto" w:fill="auto"/>
          </w:tcPr>
          <w:p w14:paraId="54E965B7" w14:textId="11970444" w:rsidR="00DA6D2B" w:rsidRPr="00AF03AD" w:rsidRDefault="00DA6D2B" w:rsidP="00DA6D2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</w:tc>
        <w:tc>
          <w:tcPr>
            <w:tcW w:w="4617" w:type="dxa"/>
            <w:shd w:val="clear" w:color="auto" w:fill="auto"/>
          </w:tcPr>
          <w:p w14:paraId="4784A353" w14:textId="3ABF408C" w:rsidR="00DA6D2B" w:rsidRPr="00AF03AD" w:rsidRDefault="00DA6D2B" w:rsidP="00DA6D2B">
            <w:pPr>
              <w:rPr>
                <w:rFonts w:ascii="Verdana" w:hAnsi="Verdana"/>
              </w:rPr>
            </w:pPr>
            <w:r>
              <w:rPr>
                <w:rFonts w:ascii="Verdana" w:eastAsia="Times New Roman" w:hAnsi="Verdana" w:cs="Arial"/>
              </w:rPr>
              <w:t>No change</w:t>
            </w:r>
          </w:p>
        </w:tc>
      </w:tr>
      <w:tr w:rsidR="00DA6D2B" w:rsidRPr="00852F8C" w14:paraId="25915616" w14:textId="77777777" w:rsidTr="000972F9">
        <w:tc>
          <w:tcPr>
            <w:tcW w:w="3029" w:type="dxa"/>
            <w:shd w:val="clear" w:color="auto" w:fill="auto"/>
          </w:tcPr>
          <w:p w14:paraId="60D24690" w14:textId="46E8FC78" w:rsidR="00DA6D2B" w:rsidRPr="0000785E" w:rsidRDefault="00DA6D2B" w:rsidP="00DA6D2B">
            <w:pPr>
              <w:pStyle w:val="Default"/>
              <w:rPr>
                <w:rFonts w:ascii="Verdana" w:hAnsi="Verdana"/>
              </w:rPr>
            </w:pPr>
            <w:r w:rsidRPr="00D50E62">
              <w:rPr>
                <w:rFonts w:ascii="Verdana" w:hAnsi="Verdana"/>
                <w:b/>
                <w:bCs/>
                <w:sz w:val="22"/>
                <w:szCs w:val="22"/>
              </w:rPr>
              <w:t>Odactra</w:t>
            </w:r>
            <w:r w:rsidRPr="00D50E62">
              <w:rPr>
                <w:rFonts w:ascii="Verdana" w:hAnsi="Verdana"/>
                <w:sz w:val="22"/>
                <w:szCs w:val="22"/>
              </w:rPr>
              <w:t xml:space="preserve"> (house dust mite allergen extract) tablets for house dust mite allergies for patients 5 to 65 years age expansion</w:t>
            </w:r>
          </w:p>
        </w:tc>
        <w:tc>
          <w:tcPr>
            <w:tcW w:w="3271" w:type="dxa"/>
            <w:shd w:val="clear" w:color="auto" w:fill="auto"/>
          </w:tcPr>
          <w:p w14:paraId="10115172" w14:textId="1B12095B" w:rsidR="00DA6D2B" w:rsidRPr="007E4E57" w:rsidRDefault="00DA6D2B" w:rsidP="00DA6D2B">
            <w:pPr>
              <w:rPr>
                <w:rFonts w:ascii="Verdana" w:hAnsi="Verdana"/>
                <w:highlight w:val="yellow"/>
              </w:rPr>
            </w:pPr>
            <w:r>
              <w:rPr>
                <w:rFonts w:ascii="Verdana" w:hAnsi="Verdana"/>
              </w:rPr>
              <w:t>NF: All lines of business</w:t>
            </w:r>
          </w:p>
        </w:tc>
        <w:tc>
          <w:tcPr>
            <w:tcW w:w="4617" w:type="dxa"/>
            <w:shd w:val="clear" w:color="auto" w:fill="auto"/>
          </w:tcPr>
          <w:p w14:paraId="3804A742" w14:textId="3E6CBE60" w:rsidR="00DA6D2B" w:rsidRPr="00AF03AD" w:rsidRDefault="00DA6D2B" w:rsidP="00DA6D2B">
            <w:pPr>
              <w:rPr>
                <w:rFonts w:ascii="Verdana" w:hAnsi="Verdana"/>
              </w:rPr>
            </w:pPr>
            <w:r>
              <w:rPr>
                <w:rFonts w:ascii="Verdana" w:eastAsia="Times New Roman" w:hAnsi="Verdana" w:cs="Arial"/>
              </w:rPr>
              <w:t>No change</w:t>
            </w:r>
          </w:p>
        </w:tc>
      </w:tr>
      <w:tr w:rsidR="00DA6D2B" w:rsidRPr="00852F8C" w14:paraId="33DE9E69" w14:textId="77777777" w:rsidTr="000972F9">
        <w:tc>
          <w:tcPr>
            <w:tcW w:w="3029" w:type="dxa"/>
            <w:shd w:val="clear" w:color="auto" w:fill="auto"/>
          </w:tcPr>
          <w:p w14:paraId="478DBD4E" w14:textId="31A78279" w:rsidR="00DA6D2B" w:rsidRPr="0000785E" w:rsidRDefault="00DA6D2B" w:rsidP="00DA6D2B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</w:pPr>
            <w:r w:rsidRPr="00D50E62">
              <w:rPr>
                <w:rFonts w:ascii="Verdana" w:hAnsi="Verdana"/>
                <w:b/>
                <w:bCs/>
                <w:sz w:val="22"/>
                <w:szCs w:val="22"/>
              </w:rPr>
              <w:lastRenderedPageBreak/>
              <w:t>Synjardy</w:t>
            </w:r>
            <w:r w:rsidRPr="00D50E62">
              <w:rPr>
                <w:rFonts w:ascii="Verdana" w:hAnsi="Verdana"/>
                <w:sz w:val="22"/>
                <w:szCs w:val="22"/>
              </w:rPr>
              <w:t xml:space="preserve"> [XR] (empagliflozin-metformin [ER]) tablets to reduce the risk of sustained decline in eGFR, end-stage kidney disease, CV death, and hospitalization in adults with type 2 diabetes &amp; CKD at risk of progression</w:t>
            </w:r>
          </w:p>
        </w:tc>
        <w:tc>
          <w:tcPr>
            <w:tcW w:w="3271" w:type="dxa"/>
            <w:shd w:val="clear" w:color="auto" w:fill="auto"/>
          </w:tcPr>
          <w:p w14:paraId="74E985E3" w14:textId="77777777" w:rsidR="00DA6D2B" w:rsidRDefault="00DA6D2B" w:rsidP="00DA6D2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F: Medicare, PPO, IFP</w:t>
            </w:r>
          </w:p>
          <w:p w14:paraId="092423E3" w14:textId="3DC24D5A" w:rsidR="00DA6D2B" w:rsidRPr="00AF03AD" w:rsidRDefault="00DA6D2B" w:rsidP="00DA6D2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PDL: Medicaid</w:t>
            </w:r>
          </w:p>
        </w:tc>
        <w:tc>
          <w:tcPr>
            <w:tcW w:w="4617" w:type="dxa"/>
            <w:shd w:val="clear" w:color="auto" w:fill="auto"/>
          </w:tcPr>
          <w:p w14:paraId="626766C6" w14:textId="757B4133" w:rsidR="00DA6D2B" w:rsidRPr="00AF03AD" w:rsidRDefault="00DA6D2B" w:rsidP="00DA6D2B">
            <w:pPr>
              <w:rPr>
                <w:rFonts w:ascii="Verdana" w:hAnsi="Verdana"/>
              </w:rPr>
            </w:pPr>
            <w:r>
              <w:rPr>
                <w:rFonts w:ascii="Verdana" w:eastAsia="Times New Roman" w:hAnsi="Verdana" w:cs="Arial"/>
              </w:rPr>
              <w:t>No change</w:t>
            </w:r>
          </w:p>
        </w:tc>
      </w:tr>
      <w:tr w:rsidR="00DA6D2B" w:rsidRPr="00852F8C" w14:paraId="639EDA04" w14:textId="77777777" w:rsidTr="000972F9">
        <w:tc>
          <w:tcPr>
            <w:tcW w:w="3029" w:type="dxa"/>
            <w:shd w:val="clear" w:color="auto" w:fill="auto"/>
          </w:tcPr>
          <w:p w14:paraId="26B8C007" w14:textId="0E127F09" w:rsidR="00DA6D2B" w:rsidRPr="0000785E" w:rsidRDefault="00DA6D2B" w:rsidP="00DA6D2B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</w:pPr>
            <w:r w:rsidRPr="00D50E62">
              <w:rPr>
                <w:rFonts w:ascii="Verdana" w:hAnsi="Verdana"/>
                <w:b/>
                <w:bCs/>
                <w:sz w:val="22"/>
                <w:szCs w:val="22"/>
              </w:rPr>
              <w:t xml:space="preserve">Baqsimi </w:t>
            </w:r>
            <w:r w:rsidRPr="00D50E62">
              <w:rPr>
                <w:rFonts w:ascii="Verdana" w:hAnsi="Verdana"/>
                <w:sz w:val="22"/>
                <w:szCs w:val="22"/>
              </w:rPr>
              <w:t>(glucagon) 3 mg nasal powder for severe hypoglycemia in patients ≥ 1 year with diabetes age expansion</w:t>
            </w:r>
          </w:p>
        </w:tc>
        <w:tc>
          <w:tcPr>
            <w:tcW w:w="3271" w:type="dxa"/>
            <w:shd w:val="clear" w:color="auto" w:fill="auto"/>
          </w:tcPr>
          <w:p w14:paraId="3867DABD" w14:textId="77777777" w:rsidR="00DA6D2B" w:rsidRDefault="00DA6D2B" w:rsidP="00DA6D2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Medicare, PPO</w:t>
            </w:r>
          </w:p>
          <w:p w14:paraId="033F47BA" w14:textId="77777777" w:rsidR="00DA6D2B" w:rsidRDefault="00DA6D2B" w:rsidP="00DA6D2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F: IFP</w:t>
            </w:r>
          </w:p>
          <w:p w14:paraId="06D98BCD" w14:textId="2DAF4D7D" w:rsidR="00DA6D2B" w:rsidRPr="00AF03AD" w:rsidRDefault="00DA6D2B" w:rsidP="00DA6D2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PDL: Medicaid</w:t>
            </w:r>
          </w:p>
        </w:tc>
        <w:tc>
          <w:tcPr>
            <w:tcW w:w="4617" w:type="dxa"/>
            <w:shd w:val="clear" w:color="auto" w:fill="auto"/>
          </w:tcPr>
          <w:p w14:paraId="1EC76C9F" w14:textId="50C8CBC2" w:rsidR="00DA6D2B" w:rsidRPr="00AF03AD" w:rsidRDefault="00DA6D2B" w:rsidP="00DA6D2B">
            <w:pPr>
              <w:rPr>
                <w:rFonts w:ascii="Verdana" w:hAnsi="Verdana"/>
              </w:rPr>
            </w:pPr>
            <w:r>
              <w:rPr>
                <w:rFonts w:ascii="Verdana" w:eastAsia="Times New Roman" w:hAnsi="Verdana" w:cs="Arial"/>
              </w:rPr>
              <w:t>No change</w:t>
            </w:r>
          </w:p>
        </w:tc>
      </w:tr>
      <w:tr w:rsidR="00DA6D2B" w:rsidRPr="00852F8C" w14:paraId="67DC4EA6" w14:textId="77777777" w:rsidTr="000972F9">
        <w:tc>
          <w:tcPr>
            <w:tcW w:w="3029" w:type="dxa"/>
            <w:shd w:val="clear" w:color="auto" w:fill="auto"/>
          </w:tcPr>
          <w:p w14:paraId="12C09F88" w14:textId="6C6DEE78" w:rsidR="00DA6D2B" w:rsidRPr="0000785E" w:rsidRDefault="00DA6D2B" w:rsidP="00DA6D2B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</w:pPr>
            <w:r w:rsidRPr="00D50E62">
              <w:rPr>
                <w:rFonts w:ascii="Verdana" w:hAnsi="Verdana"/>
                <w:b/>
                <w:bCs/>
                <w:sz w:val="22"/>
                <w:szCs w:val="22"/>
              </w:rPr>
              <w:t>Rivfloza</w:t>
            </w:r>
            <w:r w:rsidRPr="00D50E62">
              <w:rPr>
                <w:rFonts w:ascii="Verdana" w:hAnsi="Verdana"/>
                <w:sz w:val="22"/>
                <w:szCs w:val="22"/>
              </w:rPr>
              <w:t xml:space="preserve"> (nedosiran) 160 mg/mL SQ injection to lower urinary oxalate levels in patients ≥ 2 years with primary hyperoxaluria type 1 age expansion</w:t>
            </w:r>
          </w:p>
        </w:tc>
        <w:tc>
          <w:tcPr>
            <w:tcW w:w="3271" w:type="dxa"/>
            <w:shd w:val="clear" w:color="auto" w:fill="auto"/>
          </w:tcPr>
          <w:p w14:paraId="589CF409" w14:textId="19B921D9" w:rsidR="00DA6D2B" w:rsidRPr="00AF03AD" w:rsidRDefault="00DA6D2B" w:rsidP="00DA6D2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</w:tc>
        <w:tc>
          <w:tcPr>
            <w:tcW w:w="4617" w:type="dxa"/>
            <w:shd w:val="clear" w:color="auto" w:fill="auto"/>
          </w:tcPr>
          <w:p w14:paraId="0DC8B534" w14:textId="7578BC39" w:rsidR="00DA6D2B" w:rsidRPr="00AF03AD" w:rsidRDefault="00DA6D2B" w:rsidP="00DA6D2B">
            <w:pPr>
              <w:rPr>
                <w:rFonts w:ascii="Verdana" w:hAnsi="Verdana"/>
              </w:rPr>
            </w:pPr>
            <w:r>
              <w:rPr>
                <w:rFonts w:ascii="Verdana" w:eastAsia="Times New Roman" w:hAnsi="Verdana" w:cs="Arial"/>
              </w:rPr>
              <w:t>No change</w:t>
            </w:r>
          </w:p>
        </w:tc>
      </w:tr>
      <w:tr w:rsidR="00DA6D2B" w:rsidRPr="00852F8C" w14:paraId="68BB0D4C" w14:textId="77777777" w:rsidTr="000972F9">
        <w:tc>
          <w:tcPr>
            <w:tcW w:w="3029" w:type="dxa"/>
            <w:shd w:val="clear" w:color="auto" w:fill="auto"/>
          </w:tcPr>
          <w:p w14:paraId="79C9155F" w14:textId="691FA81D" w:rsidR="00DA6D2B" w:rsidRPr="0000785E" w:rsidRDefault="00DA6D2B" w:rsidP="00DA6D2B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</w:pPr>
            <w:r w:rsidRPr="00D50E62">
              <w:rPr>
                <w:rFonts w:ascii="Verdana" w:hAnsi="Verdana"/>
                <w:b/>
                <w:bCs/>
                <w:sz w:val="22"/>
                <w:szCs w:val="22"/>
              </w:rPr>
              <w:t>Susvimo</w:t>
            </w:r>
            <w:r w:rsidRPr="00D50E62">
              <w:rPr>
                <w:rFonts w:ascii="Verdana" w:hAnsi="Verdana"/>
                <w:sz w:val="22"/>
                <w:szCs w:val="22"/>
              </w:rPr>
              <w:t xml:space="preserve"> (ranibizumab) 100 mg/mL intravitreal ocular implant for diabetic macular edema in patients who previously responded to at least 2 intravitreal injections of a VEGF inhibitor</w:t>
            </w:r>
          </w:p>
        </w:tc>
        <w:tc>
          <w:tcPr>
            <w:tcW w:w="3271" w:type="dxa"/>
            <w:shd w:val="clear" w:color="auto" w:fill="auto"/>
          </w:tcPr>
          <w:p w14:paraId="642CF7F1" w14:textId="46F61706" w:rsidR="00DA6D2B" w:rsidRPr="00AF03AD" w:rsidRDefault="00DA6D2B" w:rsidP="00DA6D2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</w:tc>
        <w:tc>
          <w:tcPr>
            <w:tcW w:w="4617" w:type="dxa"/>
            <w:shd w:val="clear" w:color="auto" w:fill="auto"/>
          </w:tcPr>
          <w:p w14:paraId="640D2E6E" w14:textId="4B8EA664" w:rsidR="00DA6D2B" w:rsidRPr="00AF03AD" w:rsidRDefault="00DA6D2B" w:rsidP="00DA6D2B">
            <w:pPr>
              <w:rPr>
                <w:rFonts w:ascii="Verdana" w:hAnsi="Verdana"/>
              </w:rPr>
            </w:pPr>
            <w:r>
              <w:rPr>
                <w:rFonts w:ascii="Verdana" w:eastAsia="Times New Roman" w:hAnsi="Verdana" w:cs="Arial"/>
              </w:rPr>
              <w:t>No change</w:t>
            </w:r>
          </w:p>
        </w:tc>
      </w:tr>
      <w:tr w:rsidR="00DA6D2B" w:rsidRPr="00852F8C" w14:paraId="2C969962" w14:textId="77777777" w:rsidTr="000972F9">
        <w:tc>
          <w:tcPr>
            <w:tcW w:w="3029" w:type="dxa"/>
            <w:shd w:val="clear" w:color="auto" w:fill="auto"/>
          </w:tcPr>
          <w:p w14:paraId="14DA6FA6" w14:textId="58F5F8E2" w:rsidR="00DA6D2B" w:rsidRPr="0000785E" w:rsidRDefault="00DA6D2B" w:rsidP="00DA6D2B">
            <w:pPr>
              <w:pStyle w:val="Default"/>
              <w:rPr>
                <w:rFonts w:ascii="Verdana" w:hAnsi="Verdana"/>
              </w:rPr>
            </w:pPr>
            <w:r w:rsidRPr="00D50E62">
              <w:rPr>
                <w:rFonts w:ascii="Verdana" w:hAnsi="Verdana"/>
                <w:b/>
                <w:bCs/>
                <w:sz w:val="22"/>
                <w:szCs w:val="22"/>
              </w:rPr>
              <w:t>Soliris</w:t>
            </w:r>
            <w:r w:rsidRPr="00D50E62">
              <w:rPr>
                <w:rFonts w:ascii="Verdana" w:hAnsi="Verdana"/>
                <w:sz w:val="22"/>
                <w:szCs w:val="22"/>
              </w:rPr>
              <w:t xml:space="preserve"> (eculizumab) 10 mg/mL IV vial for generalized myasthenia gravis in patients ≥ 6 years age expansion</w:t>
            </w:r>
          </w:p>
        </w:tc>
        <w:tc>
          <w:tcPr>
            <w:tcW w:w="3271" w:type="dxa"/>
            <w:shd w:val="clear" w:color="auto" w:fill="auto"/>
          </w:tcPr>
          <w:p w14:paraId="7E1A12A1" w14:textId="69F04810" w:rsidR="00DA6D2B" w:rsidRPr="00AF03AD" w:rsidRDefault="00DA6D2B" w:rsidP="00DA6D2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</w:tc>
        <w:tc>
          <w:tcPr>
            <w:tcW w:w="4617" w:type="dxa"/>
            <w:shd w:val="clear" w:color="auto" w:fill="auto"/>
          </w:tcPr>
          <w:p w14:paraId="28D5C941" w14:textId="34374D6B" w:rsidR="00DA6D2B" w:rsidRPr="00AF03AD" w:rsidRDefault="00DA6D2B" w:rsidP="00DA6D2B">
            <w:pPr>
              <w:rPr>
                <w:rFonts w:ascii="Verdana" w:hAnsi="Verdana"/>
              </w:rPr>
            </w:pPr>
            <w:r>
              <w:rPr>
                <w:rFonts w:ascii="Verdana" w:eastAsia="Times New Roman" w:hAnsi="Verdana" w:cs="Arial"/>
              </w:rPr>
              <w:t>No change</w:t>
            </w:r>
          </w:p>
        </w:tc>
      </w:tr>
      <w:tr w:rsidR="00DA6D2B" w:rsidRPr="00852F8C" w14:paraId="0655D9D4" w14:textId="77777777" w:rsidTr="000972F9">
        <w:tc>
          <w:tcPr>
            <w:tcW w:w="3029" w:type="dxa"/>
            <w:shd w:val="clear" w:color="auto" w:fill="auto"/>
          </w:tcPr>
          <w:p w14:paraId="3BBC118E" w14:textId="5183CD58" w:rsidR="00DA6D2B" w:rsidRPr="0000785E" w:rsidRDefault="00DA6D2B" w:rsidP="00DA6D2B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</w:pPr>
            <w:r w:rsidRPr="00D50E62">
              <w:rPr>
                <w:rFonts w:ascii="Verdana" w:hAnsi="Verdana"/>
                <w:b/>
                <w:bCs/>
                <w:sz w:val="22"/>
                <w:szCs w:val="22"/>
              </w:rPr>
              <w:t>Keytruda</w:t>
            </w:r>
            <w:r w:rsidRPr="00D50E62">
              <w:rPr>
                <w:rFonts w:ascii="Verdana" w:hAnsi="Verdana"/>
                <w:sz w:val="22"/>
                <w:szCs w:val="22"/>
              </w:rPr>
              <w:t xml:space="preserve"> (pembrolizumab) 25 mg/mL IV solution traditional approval for HER2+ gastric/GEJ cancer</w:t>
            </w:r>
          </w:p>
        </w:tc>
        <w:tc>
          <w:tcPr>
            <w:tcW w:w="3271" w:type="dxa"/>
            <w:shd w:val="clear" w:color="auto" w:fill="auto"/>
          </w:tcPr>
          <w:p w14:paraId="6797C93D" w14:textId="68ADC6DE" w:rsidR="00DA6D2B" w:rsidRPr="00AF03AD" w:rsidRDefault="00DA6D2B" w:rsidP="00DA6D2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</w:tc>
        <w:tc>
          <w:tcPr>
            <w:tcW w:w="4617" w:type="dxa"/>
            <w:shd w:val="clear" w:color="auto" w:fill="auto"/>
          </w:tcPr>
          <w:p w14:paraId="16383BAB" w14:textId="035208B2" w:rsidR="00DA6D2B" w:rsidRPr="00AF03AD" w:rsidRDefault="00DA6D2B" w:rsidP="00DA6D2B">
            <w:pPr>
              <w:rPr>
                <w:rFonts w:ascii="Verdana" w:hAnsi="Verdana"/>
              </w:rPr>
            </w:pPr>
            <w:r>
              <w:rPr>
                <w:rFonts w:ascii="Verdana" w:eastAsia="Times New Roman" w:hAnsi="Verdana" w:cs="Arial"/>
              </w:rPr>
              <w:t>No change</w:t>
            </w:r>
          </w:p>
        </w:tc>
      </w:tr>
      <w:tr w:rsidR="00DA6D2B" w:rsidRPr="00852F8C" w14:paraId="0881C133" w14:textId="77777777" w:rsidTr="000972F9">
        <w:tc>
          <w:tcPr>
            <w:tcW w:w="3029" w:type="dxa"/>
            <w:shd w:val="clear" w:color="auto" w:fill="auto"/>
          </w:tcPr>
          <w:p w14:paraId="5640861B" w14:textId="174E577B" w:rsidR="00DA6D2B" w:rsidRPr="0000785E" w:rsidRDefault="00DA6D2B" w:rsidP="00DA6D2B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</w:pPr>
            <w:r w:rsidRPr="00D50E62">
              <w:rPr>
                <w:rFonts w:ascii="Verdana" w:hAnsi="Verdana"/>
                <w:b/>
                <w:bCs/>
                <w:sz w:val="22"/>
                <w:szCs w:val="22"/>
              </w:rPr>
              <w:t xml:space="preserve">Imfinzi </w:t>
            </w:r>
            <w:r w:rsidRPr="00D50E62">
              <w:rPr>
                <w:rFonts w:ascii="Verdana" w:hAnsi="Verdana"/>
                <w:sz w:val="22"/>
                <w:szCs w:val="22"/>
              </w:rPr>
              <w:t xml:space="preserve">(durvalumab) 50 mg/mL IV solution in combination with </w:t>
            </w:r>
            <w:r w:rsidRPr="00D50E62">
              <w:rPr>
                <w:rFonts w:ascii="Verdana" w:hAnsi="Verdana"/>
                <w:sz w:val="22"/>
                <w:szCs w:val="22"/>
              </w:rPr>
              <w:lastRenderedPageBreak/>
              <w:t>gemcitabine and cisplatin followed by durvalumab monotherapy for muscle invasive bladder cancer</w:t>
            </w:r>
          </w:p>
        </w:tc>
        <w:tc>
          <w:tcPr>
            <w:tcW w:w="3271" w:type="dxa"/>
            <w:shd w:val="clear" w:color="auto" w:fill="auto"/>
          </w:tcPr>
          <w:p w14:paraId="4C0888FF" w14:textId="7192C24B" w:rsidR="00DA6D2B" w:rsidRPr="00AF03AD" w:rsidRDefault="00DA6D2B" w:rsidP="00DA6D2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NF: All lines of business</w:t>
            </w:r>
          </w:p>
        </w:tc>
        <w:tc>
          <w:tcPr>
            <w:tcW w:w="4617" w:type="dxa"/>
            <w:shd w:val="clear" w:color="auto" w:fill="auto"/>
          </w:tcPr>
          <w:p w14:paraId="08ED0913" w14:textId="145D6886" w:rsidR="00DA6D2B" w:rsidRPr="00AF03AD" w:rsidRDefault="00DA6D2B" w:rsidP="00DA6D2B">
            <w:pPr>
              <w:rPr>
                <w:rFonts w:ascii="Verdana" w:hAnsi="Verdana"/>
              </w:rPr>
            </w:pPr>
            <w:r>
              <w:rPr>
                <w:rFonts w:ascii="Verdana" w:eastAsia="Times New Roman" w:hAnsi="Verdana" w:cs="Arial"/>
              </w:rPr>
              <w:t>No change</w:t>
            </w:r>
          </w:p>
        </w:tc>
      </w:tr>
      <w:tr w:rsidR="00DA6D2B" w:rsidRPr="00852F8C" w14:paraId="0A66898C" w14:textId="77777777" w:rsidTr="000972F9">
        <w:tc>
          <w:tcPr>
            <w:tcW w:w="3029" w:type="dxa"/>
            <w:shd w:val="clear" w:color="auto" w:fill="auto"/>
          </w:tcPr>
          <w:p w14:paraId="6C4C36A6" w14:textId="62C2727A" w:rsidR="00DA6D2B" w:rsidRPr="0000785E" w:rsidRDefault="00DA6D2B" w:rsidP="00DA6D2B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</w:pPr>
            <w:r w:rsidRPr="00D50E62">
              <w:rPr>
                <w:rFonts w:ascii="Verdana" w:hAnsi="Verdana"/>
                <w:b/>
                <w:bCs/>
                <w:sz w:val="22"/>
                <w:szCs w:val="22"/>
              </w:rPr>
              <w:t xml:space="preserve">Fabhalta </w:t>
            </w:r>
            <w:r w:rsidRPr="00D50E62">
              <w:rPr>
                <w:rFonts w:ascii="Verdana" w:hAnsi="Verdana"/>
                <w:sz w:val="22"/>
                <w:szCs w:val="22"/>
              </w:rPr>
              <w:t>(iptacopan) 200 mg capsules for complement 3 glomerulopathy to reduce proteinuria</w:t>
            </w:r>
          </w:p>
        </w:tc>
        <w:tc>
          <w:tcPr>
            <w:tcW w:w="3271" w:type="dxa"/>
            <w:shd w:val="clear" w:color="auto" w:fill="auto"/>
          </w:tcPr>
          <w:p w14:paraId="2A7B6E22" w14:textId="657248C8" w:rsidR="00DA6D2B" w:rsidRPr="00AF03AD" w:rsidRDefault="00DA6D2B" w:rsidP="00DA6D2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</w:tc>
        <w:tc>
          <w:tcPr>
            <w:tcW w:w="4617" w:type="dxa"/>
            <w:shd w:val="clear" w:color="auto" w:fill="auto"/>
          </w:tcPr>
          <w:p w14:paraId="2614E373" w14:textId="105371B2" w:rsidR="00DA6D2B" w:rsidRPr="00AF03AD" w:rsidRDefault="00DA6D2B" w:rsidP="00DA6D2B">
            <w:pPr>
              <w:rPr>
                <w:rFonts w:ascii="Verdana" w:hAnsi="Verdana"/>
              </w:rPr>
            </w:pPr>
            <w:r>
              <w:rPr>
                <w:rFonts w:ascii="Verdana" w:eastAsia="Times New Roman" w:hAnsi="Verdana" w:cs="Arial"/>
              </w:rPr>
              <w:t>No change</w:t>
            </w:r>
          </w:p>
        </w:tc>
      </w:tr>
      <w:tr w:rsidR="00DA6D2B" w:rsidRPr="00852F8C" w14:paraId="2406BD13" w14:textId="77777777" w:rsidTr="000972F9">
        <w:tc>
          <w:tcPr>
            <w:tcW w:w="3029" w:type="dxa"/>
            <w:shd w:val="clear" w:color="auto" w:fill="auto"/>
          </w:tcPr>
          <w:p w14:paraId="0CC4A56A" w14:textId="4B6A5AD1" w:rsidR="00DA6D2B" w:rsidRPr="0000785E" w:rsidRDefault="00DA6D2B" w:rsidP="00DA6D2B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</w:pPr>
            <w:r w:rsidRPr="007A3A84">
              <w:rPr>
                <w:rFonts w:ascii="Verdana" w:hAnsi="Verdana"/>
                <w:b/>
                <w:bCs/>
                <w:sz w:val="22"/>
                <w:szCs w:val="22"/>
              </w:rPr>
              <w:t xml:space="preserve">Cabometyx </w:t>
            </w:r>
            <w:r w:rsidRPr="007A3A84">
              <w:rPr>
                <w:rFonts w:ascii="Verdana" w:hAnsi="Verdana"/>
                <w:sz w:val="22"/>
                <w:szCs w:val="22"/>
              </w:rPr>
              <w:t>(cabozantinib) 20, 40, &amp; 60 mg tablets for neuroendocrine tumors</w:t>
            </w:r>
          </w:p>
        </w:tc>
        <w:tc>
          <w:tcPr>
            <w:tcW w:w="3271" w:type="dxa"/>
            <w:shd w:val="clear" w:color="auto" w:fill="auto"/>
          </w:tcPr>
          <w:p w14:paraId="41E01D16" w14:textId="73A639C6" w:rsidR="00DA6D2B" w:rsidRPr="00AF03AD" w:rsidRDefault="00DA6D2B" w:rsidP="00DA6D2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F: All lines of business</w:t>
            </w:r>
          </w:p>
        </w:tc>
        <w:tc>
          <w:tcPr>
            <w:tcW w:w="4617" w:type="dxa"/>
            <w:shd w:val="clear" w:color="auto" w:fill="auto"/>
          </w:tcPr>
          <w:p w14:paraId="23D4567D" w14:textId="64BB51AF" w:rsidR="00DA6D2B" w:rsidRPr="00AF03AD" w:rsidRDefault="00DA6D2B" w:rsidP="00DA6D2B">
            <w:pPr>
              <w:rPr>
                <w:rFonts w:ascii="Verdana" w:hAnsi="Verdana"/>
              </w:rPr>
            </w:pPr>
            <w:r>
              <w:rPr>
                <w:rFonts w:ascii="Verdana" w:eastAsia="Times New Roman" w:hAnsi="Verdana" w:cs="Arial"/>
              </w:rPr>
              <w:t>No change</w:t>
            </w:r>
          </w:p>
        </w:tc>
      </w:tr>
      <w:tr w:rsidR="00DA6D2B" w:rsidRPr="00852F8C" w14:paraId="5E69EB84" w14:textId="77777777" w:rsidTr="000972F9">
        <w:tc>
          <w:tcPr>
            <w:tcW w:w="3029" w:type="dxa"/>
            <w:shd w:val="clear" w:color="auto" w:fill="auto"/>
          </w:tcPr>
          <w:p w14:paraId="047C3A7E" w14:textId="39E347BD" w:rsidR="00DA6D2B" w:rsidRPr="0000785E" w:rsidRDefault="00DA6D2B" w:rsidP="00DA6D2B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</w:pPr>
            <w:r w:rsidRPr="007A3A84">
              <w:rPr>
                <w:rFonts w:ascii="Verdana" w:hAnsi="Verdana"/>
                <w:b/>
                <w:bCs/>
                <w:sz w:val="22"/>
                <w:szCs w:val="22"/>
              </w:rPr>
              <w:t xml:space="preserve">Rinvoq </w:t>
            </w:r>
            <w:r w:rsidRPr="007A3A84">
              <w:rPr>
                <w:rFonts w:ascii="Verdana" w:hAnsi="Verdana"/>
                <w:sz w:val="22"/>
                <w:szCs w:val="22"/>
              </w:rPr>
              <w:t>(upadacitinib) 15 mg ER tablets for giant cell arteritis</w:t>
            </w:r>
          </w:p>
        </w:tc>
        <w:tc>
          <w:tcPr>
            <w:tcW w:w="3271" w:type="dxa"/>
            <w:shd w:val="clear" w:color="auto" w:fill="auto"/>
          </w:tcPr>
          <w:p w14:paraId="21B43BCB" w14:textId="77777777" w:rsidR="00DA6D2B" w:rsidRDefault="00DA6D2B" w:rsidP="00DA6D2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F: Medicare, PPO, IFP</w:t>
            </w:r>
          </w:p>
          <w:p w14:paraId="5A132AF2" w14:textId="1A669FC2" w:rsidR="00DA6D2B" w:rsidRPr="00AF03AD" w:rsidRDefault="00DA6D2B" w:rsidP="00DA6D2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NP: Medicaid</w:t>
            </w:r>
          </w:p>
        </w:tc>
        <w:tc>
          <w:tcPr>
            <w:tcW w:w="4617" w:type="dxa"/>
            <w:shd w:val="clear" w:color="auto" w:fill="auto"/>
          </w:tcPr>
          <w:p w14:paraId="7F90506A" w14:textId="64A4B882" w:rsidR="00DA6D2B" w:rsidRPr="00AF03AD" w:rsidRDefault="00DA6D2B" w:rsidP="00DA6D2B">
            <w:pPr>
              <w:rPr>
                <w:rFonts w:ascii="Verdana" w:hAnsi="Verdana"/>
              </w:rPr>
            </w:pPr>
            <w:r>
              <w:rPr>
                <w:rFonts w:ascii="Verdana" w:eastAsia="Times New Roman" w:hAnsi="Verdana" w:cs="Arial"/>
              </w:rPr>
              <w:t>No change</w:t>
            </w:r>
          </w:p>
        </w:tc>
      </w:tr>
      <w:tr w:rsidR="00DA6D2B" w:rsidRPr="00852F8C" w14:paraId="3CB11EE1" w14:textId="77777777" w:rsidTr="000972F9">
        <w:tc>
          <w:tcPr>
            <w:tcW w:w="3029" w:type="dxa"/>
            <w:shd w:val="clear" w:color="auto" w:fill="auto"/>
          </w:tcPr>
          <w:p w14:paraId="1AB74707" w14:textId="2ADED238" w:rsidR="00DA6D2B" w:rsidRPr="007A3A84" w:rsidRDefault="00DA6D2B" w:rsidP="00DA6D2B">
            <w:pPr>
              <w:pStyle w:val="Defaul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A3A84">
              <w:rPr>
                <w:rFonts w:ascii="Verdana" w:hAnsi="Verdana"/>
                <w:b/>
                <w:bCs/>
                <w:sz w:val="22"/>
                <w:szCs w:val="22"/>
              </w:rPr>
              <w:t xml:space="preserve">Isturisa </w:t>
            </w:r>
            <w:r w:rsidRPr="007A3A84">
              <w:rPr>
                <w:rFonts w:ascii="Verdana" w:hAnsi="Verdana"/>
                <w:sz w:val="22"/>
                <w:szCs w:val="22"/>
              </w:rPr>
              <w:t>(osilodrostat) 1 &amp; 5 mg tablets for endogenous hypercortisolemia in adults with Cushing’s syndrome for whom surgery is not an option or has not been curative</w:t>
            </w:r>
          </w:p>
        </w:tc>
        <w:tc>
          <w:tcPr>
            <w:tcW w:w="3271" w:type="dxa"/>
            <w:shd w:val="clear" w:color="auto" w:fill="auto"/>
          </w:tcPr>
          <w:p w14:paraId="72B2EF25" w14:textId="77777777" w:rsidR="00DA6D2B" w:rsidRDefault="00DA6D2B" w:rsidP="00DA6D2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Medicare, PPO, IFP</w:t>
            </w:r>
          </w:p>
          <w:p w14:paraId="042CAA7E" w14:textId="558D586C" w:rsidR="00DA6D2B" w:rsidRPr="00AF03AD" w:rsidRDefault="00DA6D2B" w:rsidP="00DA6D2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NP: Medicaid</w:t>
            </w:r>
          </w:p>
        </w:tc>
        <w:tc>
          <w:tcPr>
            <w:tcW w:w="4617" w:type="dxa"/>
            <w:shd w:val="clear" w:color="auto" w:fill="auto"/>
          </w:tcPr>
          <w:p w14:paraId="40955A2C" w14:textId="7531B1EF" w:rsidR="00DA6D2B" w:rsidRPr="00AF03AD" w:rsidRDefault="00DA6D2B" w:rsidP="00DA6D2B">
            <w:pPr>
              <w:rPr>
                <w:rFonts w:ascii="Verdana" w:hAnsi="Verdana"/>
              </w:rPr>
            </w:pPr>
            <w:r>
              <w:rPr>
                <w:rFonts w:ascii="Verdana" w:eastAsia="Times New Roman" w:hAnsi="Verdana" w:cs="Arial"/>
              </w:rPr>
              <w:t>No change</w:t>
            </w:r>
          </w:p>
        </w:tc>
      </w:tr>
      <w:tr w:rsidR="00DA6D2B" w:rsidRPr="00852F8C" w14:paraId="3F3FBFBD" w14:textId="77777777" w:rsidTr="000972F9">
        <w:tc>
          <w:tcPr>
            <w:tcW w:w="3029" w:type="dxa"/>
            <w:shd w:val="clear" w:color="auto" w:fill="auto"/>
          </w:tcPr>
          <w:p w14:paraId="647A45D3" w14:textId="7D123EF9" w:rsidR="00DA6D2B" w:rsidRPr="007A3A84" w:rsidRDefault="00DA6D2B" w:rsidP="00DA6D2B">
            <w:pPr>
              <w:pStyle w:val="Defaul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A3A84">
              <w:rPr>
                <w:rFonts w:ascii="Verdana" w:hAnsi="Verdana"/>
                <w:b/>
                <w:bCs/>
                <w:sz w:val="22"/>
                <w:szCs w:val="22"/>
              </w:rPr>
              <w:t xml:space="preserve">Eliquis </w:t>
            </w:r>
            <w:r w:rsidRPr="007A3A84">
              <w:rPr>
                <w:rFonts w:ascii="Verdana" w:hAnsi="Verdana"/>
                <w:sz w:val="22"/>
                <w:szCs w:val="22"/>
              </w:rPr>
              <w:t>(apixaban) 2.5 &amp; 5 mg tablets, 0.5 mg tablets for oral suspension, &amp; 0.15 mg sprinkle capsules for oral suspension for VTE in pediatric patients age expansion</w:t>
            </w:r>
          </w:p>
        </w:tc>
        <w:tc>
          <w:tcPr>
            <w:tcW w:w="3271" w:type="dxa"/>
            <w:shd w:val="clear" w:color="auto" w:fill="auto"/>
          </w:tcPr>
          <w:p w14:paraId="41D5A2E4" w14:textId="5841EA1B" w:rsidR="00DA6D2B" w:rsidRPr="00AF03AD" w:rsidRDefault="00DA6D2B" w:rsidP="00DA6D2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F: All lines of business</w:t>
            </w:r>
          </w:p>
        </w:tc>
        <w:tc>
          <w:tcPr>
            <w:tcW w:w="4617" w:type="dxa"/>
            <w:shd w:val="clear" w:color="auto" w:fill="auto"/>
          </w:tcPr>
          <w:p w14:paraId="3BD6EC9B" w14:textId="66A890A2" w:rsidR="00DA6D2B" w:rsidRPr="00AF03AD" w:rsidRDefault="00DA6D2B" w:rsidP="00DA6D2B">
            <w:pPr>
              <w:rPr>
                <w:rFonts w:ascii="Verdana" w:hAnsi="Verdana"/>
              </w:rPr>
            </w:pPr>
            <w:r>
              <w:rPr>
                <w:rFonts w:ascii="Verdana" w:eastAsia="Times New Roman" w:hAnsi="Verdana" w:cs="Arial"/>
              </w:rPr>
              <w:t>No change</w:t>
            </w:r>
          </w:p>
        </w:tc>
      </w:tr>
      <w:tr w:rsidR="00DA6D2B" w:rsidRPr="00852F8C" w14:paraId="2E01EC4F" w14:textId="77777777" w:rsidTr="000972F9">
        <w:tc>
          <w:tcPr>
            <w:tcW w:w="3029" w:type="dxa"/>
            <w:shd w:val="clear" w:color="auto" w:fill="auto"/>
          </w:tcPr>
          <w:p w14:paraId="6C5449E9" w14:textId="29B600A5" w:rsidR="00DA6D2B" w:rsidRPr="007A3A84" w:rsidRDefault="00DA6D2B" w:rsidP="00DA6D2B">
            <w:pPr>
              <w:pStyle w:val="Defaul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A3A84">
              <w:rPr>
                <w:rFonts w:ascii="Verdana" w:hAnsi="Verdana"/>
                <w:b/>
                <w:bCs/>
                <w:sz w:val="22"/>
                <w:szCs w:val="22"/>
              </w:rPr>
              <w:t xml:space="preserve">Sivextro </w:t>
            </w:r>
            <w:r w:rsidRPr="007A3A84">
              <w:rPr>
                <w:rFonts w:ascii="Verdana" w:hAnsi="Verdana"/>
                <w:sz w:val="22"/>
                <w:szCs w:val="22"/>
              </w:rPr>
              <w:t>(tedizolid) 200 mg tablets for acute bacterial skin and skin structure infections in pediatric patients age expansion</w:t>
            </w:r>
          </w:p>
        </w:tc>
        <w:tc>
          <w:tcPr>
            <w:tcW w:w="3271" w:type="dxa"/>
            <w:shd w:val="clear" w:color="auto" w:fill="auto"/>
          </w:tcPr>
          <w:p w14:paraId="78A453AC" w14:textId="0941ABC0" w:rsidR="00DA6D2B" w:rsidRPr="00AF03AD" w:rsidRDefault="00DA6D2B" w:rsidP="00DA6D2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</w:tc>
        <w:tc>
          <w:tcPr>
            <w:tcW w:w="4617" w:type="dxa"/>
            <w:shd w:val="clear" w:color="auto" w:fill="auto"/>
          </w:tcPr>
          <w:p w14:paraId="532ADA34" w14:textId="194B1E0F" w:rsidR="00DA6D2B" w:rsidRPr="00AF03AD" w:rsidRDefault="00DA6D2B" w:rsidP="00DA6D2B">
            <w:pPr>
              <w:rPr>
                <w:rFonts w:ascii="Verdana" w:hAnsi="Verdana"/>
              </w:rPr>
            </w:pPr>
            <w:r>
              <w:rPr>
                <w:rFonts w:ascii="Verdana" w:eastAsia="Times New Roman" w:hAnsi="Verdana" w:cs="Arial"/>
              </w:rPr>
              <w:t>No change</w:t>
            </w:r>
          </w:p>
        </w:tc>
      </w:tr>
      <w:tr w:rsidR="00DA6D2B" w:rsidRPr="00852F8C" w14:paraId="6E3933BD" w14:textId="77777777" w:rsidTr="000972F9">
        <w:tc>
          <w:tcPr>
            <w:tcW w:w="3029" w:type="dxa"/>
            <w:shd w:val="clear" w:color="auto" w:fill="auto"/>
          </w:tcPr>
          <w:p w14:paraId="176B6682" w14:textId="3B07FE1A" w:rsidR="00DA6D2B" w:rsidRPr="007A3A84" w:rsidRDefault="00DA6D2B" w:rsidP="00DA6D2B">
            <w:pPr>
              <w:pStyle w:val="Defaul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A3A84">
              <w:rPr>
                <w:rFonts w:ascii="Verdana" w:hAnsi="Verdana"/>
                <w:b/>
                <w:bCs/>
                <w:sz w:val="22"/>
                <w:szCs w:val="22"/>
              </w:rPr>
              <w:t xml:space="preserve">Amvuttra </w:t>
            </w:r>
            <w:r w:rsidRPr="007A3A84">
              <w:rPr>
                <w:rFonts w:ascii="Verdana" w:hAnsi="Verdana"/>
                <w:sz w:val="22"/>
                <w:szCs w:val="22"/>
              </w:rPr>
              <w:t>(vutrisiran) 25 mg/0.5 mL prefilled syringe for cardiomyopathy of wild-type or hereditary transthyretin-mediated amyloidosis</w:t>
            </w:r>
          </w:p>
        </w:tc>
        <w:tc>
          <w:tcPr>
            <w:tcW w:w="3271" w:type="dxa"/>
            <w:shd w:val="clear" w:color="auto" w:fill="auto"/>
          </w:tcPr>
          <w:p w14:paraId="0E484ED7" w14:textId="1DB30653" w:rsidR="00DA6D2B" w:rsidRPr="00AF03AD" w:rsidRDefault="00DA6D2B" w:rsidP="00DA6D2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</w:tc>
        <w:tc>
          <w:tcPr>
            <w:tcW w:w="4617" w:type="dxa"/>
            <w:shd w:val="clear" w:color="auto" w:fill="auto"/>
          </w:tcPr>
          <w:p w14:paraId="070537C5" w14:textId="2A7BC3AC" w:rsidR="00DA6D2B" w:rsidRPr="00AF03AD" w:rsidRDefault="00DA6D2B" w:rsidP="00DA6D2B">
            <w:pPr>
              <w:rPr>
                <w:rFonts w:ascii="Verdana" w:hAnsi="Verdana"/>
              </w:rPr>
            </w:pPr>
            <w:r>
              <w:rPr>
                <w:rFonts w:ascii="Verdana" w:eastAsia="Times New Roman" w:hAnsi="Verdana" w:cs="Arial"/>
              </w:rPr>
              <w:t>No change</w:t>
            </w:r>
          </w:p>
        </w:tc>
      </w:tr>
      <w:tr w:rsidR="00DA6D2B" w:rsidRPr="00852F8C" w14:paraId="5AFE278C" w14:textId="77777777" w:rsidTr="000972F9">
        <w:tc>
          <w:tcPr>
            <w:tcW w:w="3029" w:type="dxa"/>
            <w:shd w:val="clear" w:color="auto" w:fill="auto"/>
          </w:tcPr>
          <w:p w14:paraId="76E362DA" w14:textId="7B2B194F" w:rsidR="00DA6D2B" w:rsidRPr="007A3A84" w:rsidRDefault="00DA6D2B" w:rsidP="00DA6D2B">
            <w:pPr>
              <w:pStyle w:val="Defaul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A3A84">
              <w:rPr>
                <w:rFonts w:ascii="Verdana" w:hAnsi="Verdana"/>
                <w:b/>
                <w:bCs/>
                <w:sz w:val="22"/>
                <w:szCs w:val="22"/>
              </w:rPr>
              <w:lastRenderedPageBreak/>
              <w:t xml:space="preserve">Uplizna </w:t>
            </w:r>
            <w:r w:rsidRPr="007A3A84">
              <w:rPr>
                <w:rFonts w:ascii="Verdana" w:hAnsi="Verdana"/>
                <w:sz w:val="22"/>
                <w:szCs w:val="22"/>
              </w:rPr>
              <w:t>(inebilizumab) 10 mg/mL IV vials for Immunoglobulin G4-related disease</w:t>
            </w:r>
          </w:p>
        </w:tc>
        <w:tc>
          <w:tcPr>
            <w:tcW w:w="3271" w:type="dxa"/>
            <w:shd w:val="clear" w:color="auto" w:fill="auto"/>
          </w:tcPr>
          <w:p w14:paraId="0C5442DB" w14:textId="0F3AF619" w:rsidR="00DA6D2B" w:rsidRPr="00AF03AD" w:rsidRDefault="00DA6D2B" w:rsidP="00DA6D2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</w:tc>
        <w:tc>
          <w:tcPr>
            <w:tcW w:w="4617" w:type="dxa"/>
            <w:shd w:val="clear" w:color="auto" w:fill="auto"/>
          </w:tcPr>
          <w:p w14:paraId="17957034" w14:textId="401FE02A" w:rsidR="00DA6D2B" w:rsidRPr="00AF03AD" w:rsidRDefault="00DA6D2B" w:rsidP="00DA6D2B">
            <w:pPr>
              <w:rPr>
                <w:rFonts w:ascii="Verdana" w:hAnsi="Verdana"/>
              </w:rPr>
            </w:pPr>
            <w:r>
              <w:rPr>
                <w:rFonts w:ascii="Verdana" w:eastAsia="Times New Roman" w:hAnsi="Verdana" w:cs="Arial"/>
              </w:rPr>
              <w:t>No change</w:t>
            </w:r>
          </w:p>
        </w:tc>
      </w:tr>
      <w:tr w:rsidR="00DA6D2B" w:rsidRPr="00852F8C" w14:paraId="7308F85A" w14:textId="77777777" w:rsidTr="000972F9">
        <w:tc>
          <w:tcPr>
            <w:tcW w:w="3029" w:type="dxa"/>
            <w:shd w:val="clear" w:color="auto" w:fill="auto"/>
          </w:tcPr>
          <w:p w14:paraId="259EA8C8" w14:textId="75C99868" w:rsidR="00DA6D2B" w:rsidRPr="007A3A84" w:rsidRDefault="00DA6D2B" w:rsidP="00DA6D2B">
            <w:pPr>
              <w:pStyle w:val="Defaul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A3A84">
              <w:rPr>
                <w:rFonts w:ascii="Verdana" w:hAnsi="Verdana"/>
                <w:b/>
                <w:bCs/>
                <w:sz w:val="22"/>
                <w:szCs w:val="22"/>
              </w:rPr>
              <w:t xml:space="preserve">Opdivo </w:t>
            </w:r>
            <w:r w:rsidRPr="007A3A84">
              <w:rPr>
                <w:rFonts w:ascii="Verdana" w:hAnsi="Verdana"/>
                <w:sz w:val="22"/>
                <w:szCs w:val="22"/>
              </w:rPr>
              <w:t>(nivolumab) in combination with Yervoy (ipilimumab) for (1) first-line treatment of hepatocellular carcinoma and (2) MSI-H or dMMR colorectal cancer full approval (also applies to nivolumab as single agent)</w:t>
            </w:r>
          </w:p>
        </w:tc>
        <w:tc>
          <w:tcPr>
            <w:tcW w:w="3271" w:type="dxa"/>
            <w:shd w:val="clear" w:color="auto" w:fill="auto"/>
          </w:tcPr>
          <w:p w14:paraId="52BDD9F8" w14:textId="0DD4B68D" w:rsidR="00DA6D2B" w:rsidRPr="00AF03AD" w:rsidRDefault="00DA6D2B" w:rsidP="00DA6D2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</w:tc>
        <w:tc>
          <w:tcPr>
            <w:tcW w:w="4617" w:type="dxa"/>
            <w:shd w:val="clear" w:color="auto" w:fill="auto"/>
          </w:tcPr>
          <w:p w14:paraId="585FECB6" w14:textId="006DD7B0" w:rsidR="00DA6D2B" w:rsidRPr="00AF03AD" w:rsidRDefault="00DA6D2B" w:rsidP="00DA6D2B">
            <w:pPr>
              <w:rPr>
                <w:rFonts w:ascii="Verdana" w:hAnsi="Verdana"/>
              </w:rPr>
            </w:pPr>
            <w:r>
              <w:rPr>
                <w:rFonts w:ascii="Verdana" w:eastAsia="Times New Roman" w:hAnsi="Verdana" w:cs="Arial"/>
              </w:rPr>
              <w:t>No change</w:t>
            </w:r>
          </w:p>
        </w:tc>
      </w:tr>
    </w:tbl>
    <w:p w14:paraId="014A787A" w14:textId="77777777" w:rsidR="00D35DC6" w:rsidRDefault="00D35DC6" w:rsidP="00E32DDA">
      <w:pPr>
        <w:rPr>
          <w:rFonts w:ascii="Verdana" w:eastAsia="Times New Roman" w:hAnsi="Verdana" w:cs="Arial"/>
          <w:b/>
          <w:sz w:val="20"/>
          <w:szCs w:val="20"/>
        </w:rPr>
      </w:pPr>
    </w:p>
    <w:tbl>
      <w:tblPr>
        <w:tblStyle w:val="LightList-Accent5"/>
        <w:tblW w:w="10885" w:type="dxa"/>
        <w:tblInd w:w="-95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10885"/>
      </w:tblGrid>
      <w:tr w:rsidR="00DA6D2B" w:rsidRPr="00852F8C" w14:paraId="4A293633" w14:textId="77777777" w:rsidTr="005462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shd w:val="clear" w:color="auto" w:fill="00205B"/>
          </w:tcPr>
          <w:p w14:paraId="1F1D82A2" w14:textId="77777777" w:rsidR="00DA6D2B" w:rsidRPr="000972F9" w:rsidRDefault="00DA6D2B" w:rsidP="005462E3">
            <w:pPr>
              <w:spacing w:after="240"/>
              <w:rPr>
                <w:rFonts w:ascii="Verdana" w:eastAsia="Times New Roman" w:hAnsi="Verdana" w:cs="Arial"/>
              </w:rPr>
            </w:pPr>
            <w:r w:rsidRPr="000972F9">
              <w:rPr>
                <w:rFonts w:ascii="Verdana" w:eastAsia="Times New Roman" w:hAnsi="Verdana" w:cs="Arial"/>
              </w:rPr>
              <w:t xml:space="preserve">New Generics Review </w:t>
            </w:r>
          </w:p>
        </w:tc>
      </w:tr>
    </w:tbl>
    <w:tbl>
      <w:tblPr>
        <w:tblStyle w:val="TableGrid"/>
        <w:tblW w:w="10917" w:type="dxa"/>
        <w:tblInd w:w="-95" w:type="dxa"/>
        <w:tblLook w:val="04A0" w:firstRow="1" w:lastRow="0" w:firstColumn="1" w:lastColumn="0" w:noHBand="0" w:noVBand="1"/>
      </w:tblPr>
      <w:tblGrid>
        <w:gridCol w:w="3060"/>
        <w:gridCol w:w="3240"/>
        <w:gridCol w:w="4617"/>
      </w:tblGrid>
      <w:tr w:rsidR="00DA6D2B" w:rsidRPr="00852F8C" w14:paraId="7A3ADB93" w14:textId="77777777" w:rsidTr="000972F9">
        <w:trPr>
          <w:trHeight w:val="566"/>
        </w:trPr>
        <w:tc>
          <w:tcPr>
            <w:tcW w:w="3060" w:type="dxa"/>
          </w:tcPr>
          <w:p w14:paraId="2A1128F5" w14:textId="77777777" w:rsidR="00DA6D2B" w:rsidRPr="000972F9" w:rsidRDefault="00DA6D2B" w:rsidP="005462E3">
            <w:pPr>
              <w:spacing w:after="240"/>
              <w:rPr>
                <w:rFonts w:ascii="Verdana" w:eastAsia="Times New Roman" w:hAnsi="Verdana" w:cs="Arial"/>
              </w:rPr>
            </w:pPr>
            <w:r w:rsidRPr="000972F9">
              <w:rPr>
                <w:rFonts w:ascii="Verdana" w:hAnsi="Verdana"/>
                <w:b/>
                <w:bCs/>
              </w:rPr>
              <w:t>Drug</w:t>
            </w:r>
          </w:p>
        </w:tc>
        <w:tc>
          <w:tcPr>
            <w:tcW w:w="3240" w:type="dxa"/>
          </w:tcPr>
          <w:p w14:paraId="6F5CFE17" w14:textId="77777777" w:rsidR="00DA6D2B" w:rsidRPr="000972F9" w:rsidRDefault="00DA6D2B" w:rsidP="005462E3">
            <w:pPr>
              <w:spacing w:after="240"/>
              <w:rPr>
                <w:rFonts w:ascii="Verdana" w:eastAsia="Times New Roman" w:hAnsi="Verdana" w:cs="Arial"/>
                <w:b/>
                <w:bCs/>
              </w:rPr>
            </w:pPr>
            <w:r w:rsidRPr="000972F9">
              <w:rPr>
                <w:rFonts w:ascii="Verdana" w:eastAsia="Times New Roman" w:hAnsi="Verdana" w:cs="Arial"/>
                <w:b/>
                <w:bCs/>
              </w:rPr>
              <w:t>Rationale/Alternative</w:t>
            </w:r>
          </w:p>
        </w:tc>
        <w:tc>
          <w:tcPr>
            <w:tcW w:w="4617" w:type="dxa"/>
          </w:tcPr>
          <w:p w14:paraId="5D8CB64F" w14:textId="77777777" w:rsidR="00DA6D2B" w:rsidRPr="000972F9" w:rsidRDefault="00DA6D2B" w:rsidP="005462E3">
            <w:pPr>
              <w:spacing w:after="240"/>
              <w:rPr>
                <w:rFonts w:ascii="Verdana" w:eastAsia="Times New Roman" w:hAnsi="Verdana" w:cs="Arial"/>
              </w:rPr>
            </w:pPr>
            <w:r w:rsidRPr="000972F9">
              <w:rPr>
                <w:rFonts w:ascii="Verdana" w:hAnsi="Verdana"/>
                <w:b/>
              </w:rPr>
              <w:t>Recommendation</w:t>
            </w:r>
          </w:p>
        </w:tc>
      </w:tr>
      <w:tr w:rsidR="001E26E0" w:rsidRPr="006547A2" w14:paraId="2DBAC261" w14:textId="77777777" w:rsidTr="000972F9">
        <w:tc>
          <w:tcPr>
            <w:tcW w:w="3060" w:type="dxa"/>
            <w:shd w:val="clear" w:color="auto" w:fill="auto"/>
          </w:tcPr>
          <w:p w14:paraId="3F067F4D" w14:textId="20939867" w:rsidR="001E26E0" w:rsidRPr="006547A2" w:rsidRDefault="001E26E0" w:rsidP="001E26E0">
            <w:pPr>
              <w:rPr>
                <w:rFonts w:ascii="Verdana" w:hAnsi="Verdana" w:cs="Arial"/>
              </w:rPr>
            </w:pPr>
            <w:r w:rsidRPr="00D33629">
              <w:rPr>
                <w:rFonts w:ascii="Verdana" w:hAnsi="Verdana"/>
                <w:b/>
                <w:bCs/>
              </w:rPr>
              <w:t>Galzin</w:t>
            </w:r>
            <w:r w:rsidRPr="00D33629">
              <w:rPr>
                <w:rFonts w:ascii="Verdana" w:hAnsi="Verdana"/>
              </w:rPr>
              <w:t xml:space="preserve"> (zinc acetate) 25 mg &amp; 50 mg capsules for Wilson’s disease authorized generic</w:t>
            </w:r>
          </w:p>
        </w:tc>
        <w:tc>
          <w:tcPr>
            <w:tcW w:w="3240" w:type="dxa"/>
            <w:shd w:val="clear" w:color="auto" w:fill="auto"/>
          </w:tcPr>
          <w:p w14:paraId="7A7B1614" w14:textId="77777777" w:rsidR="001E26E0" w:rsidRPr="00D33629" w:rsidRDefault="001E26E0" w:rsidP="001E26E0">
            <w:pPr>
              <w:rPr>
                <w:rFonts w:ascii="Verdana" w:hAnsi="Verdana"/>
              </w:rPr>
            </w:pPr>
            <w:r w:rsidRPr="00D33629">
              <w:rPr>
                <w:rFonts w:ascii="Verdana" w:hAnsi="Verdana"/>
              </w:rPr>
              <w:t>An authorized generic launched for zinc acetate capsules.</w:t>
            </w:r>
          </w:p>
          <w:p w14:paraId="1C4B9794" w14:textId="77777777" w:rsidR="001E26E0" w:rsidRPr="006547A2" w:rsidRDefault="001E26E0" w:rsidP="001E26E0">
            <w:pPr>
              <w:rPr>
                <w:rFonts w:ascii="Verdana" w:hAnsi="Verdana"/>
              </w:rPr>
            </w:pPr>
          </w:p>
        </w:tc>
        <w:tc>
          <w:tcPr>
            <w:tcW w:w="4617" w:type="dxa"/>
            <w:shd w:val="clear" w:color="auto" w:fill="auto"/>
          </w:tcPr>
          <w:p w14:paraId="56CDBC39" w14:textId="56942893" w:rsidR="001E26E0" w:rsidRPr="006547A2" w:rsidRDefault="001E26E0" w:rsidP="001E26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</w:tc>
      </w:tr>
      <w:tr w:rsidR="001E26E0" w:rsidRPr="006547A2" w14:paraId="1558D43E" w14:textId="77777777" w:rsidTr="000972F9">
        <w:tc>
          <w:tcPr>
            <w:tcW w:w="3060" w:type="dxa"/>
            <w:shd w:val="clear" w:color="auto" w:fill="auto"/>
          </w:tcPr>
          <w:p w14:paraId="70BFDDC0" w14:textId="738A40D5" w:rsidR="001E26E0" w:rsidRPr="006547A2" w:rsidRDefault="001E26E0" w:rsidP="001E26E0">
            <w:pPr>
              <w:rPr>
                <w:rFonts w:ascii="Verdana" w:hAnsi="Verdana" w:cs="Arial"/>
              </w:rPr>
            </w:pPr>
            <w:r w:rsidRPr="00D33629">
              <w:rPr>
                <w:rFonts w:ascii="Verdana" w:hAnsi="Verdana"/>
                <w:b/>
                <w:bCs/>
              </w:rPr>
              <w:t>Auranofin</w:t>
            </w:r>
            <w:r w:rsidRPr="00D33629">
              <w:rPr>
                <w:rFonts w:ascii="Verdana" w:hAnsi="Verdana"/>
              </w:rPr>
              <w:t xml:space="preserve"> 3 mg capsule for rheumatoid arthritis authorized generic</w:t>
            </w:r>
          </w:p>
        </w:tc>
        <w:tc>
          <w:tcPr>
            <w:tcW w:w="3240" w:type="dxa"/>
            <w:shd w:val="clear" w:color="auto" w:fill="auto"/>
          </w:tcPr>
          <w:p w14:paraId="39169EAB" w14:textId="6F330C0A" w:rsidR="001E26E0" w:rsidRPr="006547A2" w:rsidRDefault="001E26E0" w:rsidP="001E26E0">
            <w:pPr>
              <w:rPr>
                <w:rFonts w:ascii="Verdana" w:hAnsi="Verdana"/>
              </w:rPr>
            </w:pPr>
            <w:r w:rsidRPr="00D33629">
              <w:rPr>
                <w:rFonts w:ascii="Verdana" w:hAnsi="Verdana"/>
              </w:rPr>
              <w:t>An authorized generic launched for auranofin which is indicated for active classical or definite rheumatoid arthritis in patients who have failed or are intolerant to ≥ 1 nonsteroidal anti-inflammatory drug.</w:t>
            </w:r>
          </w:p>
        </w:tc>
        <w:tc>
          <w:tcPr>
            <w:tcW w:w="4617" w:type="dxa"/>
            <w:shd w:val="clear" w:color="auto" w:fill="auto"/>
          </w:tcPr>
          <w:p w14:paraId="33D1DEB0" w14:textId="06BBF961" w:rsidR="001E26E0" w:rsidRPr="006547A2" w:rsidRDefault="001E26E0" w:rsidP="001E26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</w:tc>
      </w:tr>
      <w:tr w:rsidR="001E26E0" w:rsidRPr="006547A2" w14:paraId="433CDAC3" w14:textId="77777777" w:rsidTr="000972F9">
        <w:tc>
          <w:tcPr>
            <w:tcW w:w="3060" w:type="dxa"/>
            <w:shd w:val="clear" w:color="auto" w:fill="auto"/>
          </w:tcPr>
          <w:p w14:paraId="0BD2FAE2" w14:textId="6E8CCBF2" w:rsidR="001E26E0" w:rsidRPr="006547A2" w:rsidRDefault="001E26E0" w:rsidP="001E26E0">
            <w:pPr>
              <w:rPr>
                <w:rFonts w:ascii="Verdana" w:hAnsi="Verdana" w:cs="Arial"/>
              </w:rPr>
            </w:pPr>
            <w:r w:rsidRPr="00D33629">
              <w:rPr>
                <w:rFonts w:ascii="Verdana" w:hAnsi="Verdana"/>
                <w:b/>
                <w:bCs/>
                <w:color w:val="000000"/>
              </w:rPr>
              <w:t>Pyzchiva</w:t>
            </w:r>
            <w:r w:rsidRPr="00D33629">
              <w:rPr>
                <w:rFonts w:ascii="Verdana" w:hAnsi="Verdana"/>
                <w:color w:val="000000"/>
              </w:rPr>
              <w:t xml:space="preserve"> (ustekinumab-ttwe) 45 mg/0.5 mL &amp; 90 mg/mL prefilled syringes for various inflammatory conditions</w:t>
            </w:r>
          </w:p>
        </w:tc>
        <w:tc>
          <w:tcPr>
            <w:tcW w:w="3240" w:type="dxa"/>
            <w:shd w:val="clear" w:color="auto" w:fill="auto"/>
          </w:tcPr>
          <w:p w14:paraId="7C51AC0F" w14:textId="77777777" w:rsidR="001E26E0" w:rsidRPr="00D33629" w:rsidRDefault="001E26E0" w:rsidP="001E26E0">
            <w:pPr>
              <w:rPr>
                <w:rFonts w:ascii="Verdana" w:hAnsi="Verdana"/>
              </w:rPr>
            </w:pPr>
            <w:r w:rsidRPr="00D33629">
              <w:rPr>
                <w:rFonts w:ascii="Verdana" w:hAnsi="Verdana"/>
              </w:rPr>
              <w:t>An additional ustekinumab biosimilar has launched under brand name Pyzchiva in 45 mg and 90 mg formulations.</w:t>
            </w:r>
          </w:p>
          <w:p w14:paraId="78D9D342" w14:textId="77777777" w:rsidR="001E26E0" w:rsidRPr="006547A2" w:rsidRDefault="001E26E0" w:rsidP="001E26E0">
            <w:pPr>
              <w:rPr>
                <w:rFonts w:ascii="Verdana" w:hAnsi="Verdana"/>
              </w:rPr>
            </w:pPr>
          </w:p>
        </w:tc>
        <w:tc>
          <w:tcPr>
            <w:tcW w:w="4617" w:type="dxa"/>
            <w:shd w:val="clear" w:color="auto" w:fill="auto"/>
          </w:tcPr>
          <w:p w14:paraId="77B704B7" w14:textId="025C938D" w:rsidR="001E26E0" w:rsidRPr="001E26E0" w:rsidRDefault="001E26E0" w:rsidP="001E26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</w:tc>
      </w:tr>
      <w:tr w:rsidR="001E26E0" w:rsidRPr="006547A2" w14:paraId="66D6DD22" w14:textId="77777777" w:rsidTr="000972F9">
        <w:tc>
          <w:tcPr>
            <w:tcW w:w="3060" w:type="dxa"/>
            <w:shd w:val="clear" w:color="auto" w:fill="auto"/>
          </w:tcPr>
          <w:p w14:paraId="18587BEB" w14:textId="1D993B52" w:rsidR="001E26E0" w:rsidRPr="006547A2" w:rsidRDefault="001E26E0" w:rsidP="001E26E0">
            <w:pPr>
              <w:rPr>
                <w:rFonts w:ascii="Verdana" w:hAnsi="Verdana" w:cs="Arial"/>
              </w:rPr>
            </w:pPr>
            <w:r w:rsidRPr="00D33629">
              <w:rPr>
                <w:rFonts w:ascii="Verdana" w:hAnsi="Verdana"/>
                <w:b/>
                <w:bCs/>
                <w:color w:val="000000"/>
              </w:rPr>
              <w:t>Pyzchiva</w:t>
            </w:r>
            <w:r w:rsidRPr="00D33629">
              <w:rPr>
                <w:rFonts w:ascii="Verdana" w:hAnsi="Verdana"/>
                <w:color w:val="000000"/>
              </w:rPr>
              <w:t xml:space="preserve"> (ustekinumab-ttwe) 130 mg/26 mL IV vial for IV induction for IBD indications</w:t>
            </w:r>
          </w:p>
        </w:tc>
        <w:tc>
          <w:tcPr>
            <w:tcW w:w="3240" w:type="dxa"/>
            <w:shd w:val="clear" w:color="auto" w:fill="auto"/>
          </w:tcPr>
          <w:p w14:paraId="0BB6DCF5" w14:textId="77777777" w:rsidR="001E26E0" w:rsidRPr="00D33629" w:rsidRDefault="001E26E0" w:rsidP="001E26E0">
            <w:pPr>
              <w:rPr>
                <w:rFonts w:ascii="Verdana" w:hAnsi="Verdana"/>
              </w:rPr>
            </w:pPr>
            <w:r w:rsidRPr="00D33629">
              <w:rPr>
                <w:rFonts w:ascii="Verdana" w:hAnsi="Verdana"/>
              </w:rPr>
              <w:t>Additional IV formulation launch of Pyschiva</w:t>
            </w:r>
          </w:p>
          <w:p w14:paraId="4D2BB06B" w14:textId="77777777" w:rsidR="001E26E0" w:rsidRPr="006547A2" w:rsidRDefault="001E26E0" w:rsidP="001E26E0">
            <w:pPr>
              <w:rPr>
                <w:rFonts w:ascii="Verdana" w:hAnsi="Verdana"/>
              </w:rPr>
            </w:pPr>
          </w:p>
        </w:tc>
        <w:tc>
          <w:tcPr>
            <w:tcW w:w="4617" w:type="dxa"/>
            <w:shd w:val="clear" w:color="auto" w:fill="auto"/>
          </w:tcPr>
          <w:p w14:paraId="201BD569" w14:textId="4FDA5097" w:rsidR="001E26E0" w:rsidRPr="006547A2" w:rsidRDefault="001E26E0" w:rsidP="001E26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</w:tc>
      </w:tr>
      <w:tr w:rsidR="001E26E0" w:rsidRPr="006547A2" w14:paraId="2172F192" w14:textId="77777777" w:rsidTr="000972F9">
        <w:tc>
          <w:tcPr>
            <w:tcW w:w="3060" w:type="dxa"/>
            <w:shd w:val="clear" w:color="auto" w:fill="auto"/>
          </w:tcPr>
          <w:p w14:paraId="5BEE3FD6" w14:textId="0F84471C" w:rsidR="001E26E0" w:rsidRPr="006547A2" w:rsidRDefault="001E26E0" w:rsidP="001E26E0">
            <w:pPr>
              <w:rPr>
                <w:rFonts w:ascii="Verdana" w:hAnsi="Verdana" w:cs="Arial"/>
              </w:rPr>
            </w:pPr>
            <w:r w:rsidRPr="00D33629">
              <w:rPr>
                <w:rFonts w:ascii="Verdana" w:hAnsi="Verdana"/>
                <w:b/>
                <w:bCs/>
                <w:color w:val="000000"/>
              </w:rPr>
              <w:t>Ivra</w:t>
            </w:r>
            <w:r w:rsidRPr="00D33629">
              <w:rPr>
                <w:rFonts w:ascii="Verdana" w:hAnsi="Verdana"/>
                <w:color w:val="000000"/>
              </w:rPr>
              <w:t xml:space="preserve"> (melphalan) 90 mg/mL IV vial for multiple myeloma</w:t>
            </w:r>
          </w:p>
        </w:tc>
        <w:tc>
          <w:tcPr>
            <w:tcW w:w="3240" w:type="dxa"/>
            <w:shd w:val="clear" w:color="auto" w:fill="auto"/>
          </w:tcPr>
          <w:p w14:paraId="5E13D074" w14:textId="4F20312D" w:rsidR="001E26E0" w:rsidRPr="006547A2" w:rsidRDefault="001E26E0" w:rsidP="001E26E0">
            <w:pPr>
              <w:rPr>
                <w:rFonts w:ascii="Verdana" w:hAnsi="Verdana"/>
              </w:rPr>
            </w:pPr>
            <w:r w:rsidRPr="00D33629">
              <w:rPr>
                <w:rFonts w:ascii="Verdana" w:hAnsi="Verdana"/>
              </w:rPr>
              <w:t xml:space="preserve">The 90 mg/mL melphalan IV solution is indicated for the palliative treatment of patients with multiple </w:t>
            </w:r>
            <w:r w:rsidRPr="00D33629">
              <w:rPr>
                <w:rFonts w:ascii="Verdana" w:hAnsi="Verdana"/>
              </w:rPr>
              <w:lastRenderedPageBreak/>
              <w:t>myeloma for whom oral therapy is not appropriate.</w:t>
            </w:r>
          </w:p>
        </w:tc>
        <w:tc>
          <w:tcPr>
            <w:tcW w:w="4617" w:type="dxa"/>
            <w:shd w:val="clear" w:color="auto" w:fill="auto"/>
          </w:tcPr>
          <w:p w14:paraId="39378195" w14:textId="05872A81" w:rsidR="001E26E0" w:rsidRPr="006547A2" w:rsidRDefault="001E26E0" w:rsidP="001E26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NF: all lines of business</w:t>
            </w:r>
          </w:p>
        </w:tc>
      </w:tr>
      <w:tr w:rsidR="001E26E0" w:rsidRPr="006547A2" w14:paraId="5E10A350" w14:textId="77777777" w:rsidTr="000972F9">
        <w:tc>
          <w:tcPr>
            <w:tcW w:w="3060" w:type="dxa"/>
            <w:shd w:val="clear" w:color="auto" w:fill="auto"/>
          </w:tcPr>
          <w:p w14:paraId="51AA299B" w14:textId="07D1F13E" w:rsidR="001E26E0" w:rsidRPr="006547A2" w:rsidRDefault="001E26E0" w:rsidP="001E26E0">
            <w:pPr>
              <w:rPr>
                <w:rFonts w:ascii="Verdana" w:hAnsi="Verdana" w:cs="Arial"/>
              </w:rPr>
            </w:pPr>
            <w:r w:rsidRPr="00D33629">
              <w:rPr>
                <w:rFonts w:ascii="Verdana" w:hAnsi="Verdana"/>
                <w:color w:val="000000"/>
              </w:rPr>
              <w:t>Namzaric (</w:t>
            </w:r>
            <w:r w:rsidRPr="00D33629">
              <w:rPr>
                <w:rFonts w:ascii="Verdana" w:hAnsi="Verdana"/>
                <w:b/>
                <w:bCs/>
                <w:color w:val="000000"/>
              </w:rPr>
              <w:t>memantine-donepezil</w:t>
            </w:r>
            <w:r w:rsidRPr="00D33629">
              <w:rPr>
                <w:rFonts w:ascii="Verdana" w:hAnsi="Verdana"/>
                <w:color w:val="000000"/>
              </w:rPr>
              <w:t>) 21-10 mg ER capsule for Alzheimer’s disease</w:t>
            </w:r>
          </w:p>
        </w:tc>
        <w:tc>
          <w:tcPr>
            <w:tcW w:w="3240" w:type="dxa"/>
            <w:shd w:val="clear" w:color="auto" w:fill="auto"/>
          </w:tcPr>
          <w:p w14:paraId="28E2E0C4" w14:textId="77777777" w:rsidR="001E26E0" w:rsidRPr="00D33629" w:rsidRDefault="001E26E0" w:rsidP="001E26E0">
            <w:pPr>
              <w:rPr>
                <w:rFonts w:ascii="Verdana" w:hAnsi="Verdana"/>
              </w:rPr>
            </w:pPr>
            <w:r w:rsidRPr="00D33629">
              <w:rPr>
                <w:rFonts w:ascii="Verdana" w:hAnsi="Verdana"/>
              </w:rPr>
              <w:t>A generic for the 21/10 mg strength of Namzaric has launched, joining the 28/10 mg and 14/10 mg strengths</w:t>
            </w:r>
          </w:p>
          <w:p w14:paraId="080B08A9" w14:textId="3997DDDD" w:rsidR="001E26E0" w:rsidRPr="006547A2" w:rsidRDefault="001E26E0" w:rsidP="001E26E0">
            <w:pPr>
              <w:rPr>
                <w:rFonts w:ascii="Verdana" w:hAnsi="Verdana"/>
              </w:rPr>
            </w:pPr>
          </w:p>
        </w:tc>
        <w:tc>
          <w:tcPr>
            <w:tcW w:w="4617" w:type="dxa"/>
            <w:shd w:val="clear" w:color="auto" w:fill="auto"/>
          </w:tcPr>
          <w:p w14:paraId="604E957A" w14:textId="77777777" w:rsidR="001E26E0" w:rsidRPr="00974FC7" w:rsidRDefault="001E26E0" w:rsidP="001E26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  <w:p w14:paraId="0CACD915" w14:textId="77777777" w:rsidR="001E26E0" w:rsidRPr="006547A2" w:rsidRDefault="001E26E0" w:rsidP="001E26E0">
            <w:pPr>
              <w:rPr>
                <w:rFonts w:ascii="Verdana" w:hAnsi="Verdana"/>
              </w:rPr>
            </w:pPr>
          </w:p>
        </w:tc>
      </w:tr>
      <w:tr w:rsidR="001E26E0" w:rsidRPr="006547A2" w14:paraId="5EB785B1" w14:textId="77777777" w:rsidTr="000972F9">
        <w:tc>
          <w:tcPr>
            <w:tcW w:w="3060" w:type="dxa"/>
            <w:shd w:val="clear" w:color="auto" w:fill="auto"/>
          </w:tcPr>
          <w:p w14:paraId="1DD99CEE" w14:textId="110DC6DB" w:rsidR="001E26E0" w:rsidRPr="006547A2" w:rsidRDefault="001E26E0" w:rsidP="001E26E0">
            <w:pPr>
              <w:rPr>
                <w:rFonts w:ascii="Verdana" w:hAnsi="Verdana" w:cs="Arial"/>
              </w:rPr>
            </w:pPr>
            <w:r w:rsidRPr="00D33629">
              <w:rPr>
                <w:rFonts w:ascii="Verdana" w:hAnsi="Verdana"/>
                <w:b/>
                <w:bCs/>
                <w:color w:val="000000"/>
              </w:rPr>
              <w:t>Otulfi</w:t>
            </w:r>
            <w:r w:rsidRPr="00D33629">
              <w:rPr>
                <w:rFonts w:ascii="Verdana" w:hAnsi="Verdana"/>
                <w:color w:val="000000"/>
              </w:rPr>
              <w:t xml:space="preserve"> (ustekinumab-aauz) 45 mg/0.5 mL &amp; 90 mg/mL prefilled syringes for various conditions</w:t>
            </w:r>
          </w:p>
        </w:tc>
        <w:tc>
          <w:tcPr>
            <w:tcW w:w="3240" w:type="dxa"/>
            <w:shd w:val="clear" w:color="auto" w:fill="auto"/>
          </w:tcPr>
          <w:p w14:paraId="0428FF65" w14:textId="77777777" w:rsidR="001E26E0" w:rsidRPr="00D33629" w:rsidRDefault="001E26E0" w:rsidP="001E26E0">
            <w:pPr>
              <w:rPr>
                <w:rFonts w:ascii="Verdana" w:hAnsi="Verdana"/>
              </w:rPr>
            </w:pPr>
            <w:r w:rsidRPr="00D33629">
              <w:rPr>
                <w:rFonts w:ascii="Verdana" w:hAnsi="Verdana"/>
              </w:rPr>
              <w:t>New Ustekinumab biosimilar for Stelara has launched</w:t>
            </w:r>
          </w:p>
          <w:p w14:paraId="2A7D557A" w14:textId="77777777" w:rsidR="001E26E0" w:rsidRPr="006547A2" w:rsidRDefault="001E26E0" w:rsidP="001E26E0">
            <w:pPr>
              <w:rPr>
                <w:rFonts w:ascii="Verdana" w:hAnsi="Verdana"/>
              </w:rPr>
            </w:pPr>
          </w:p>
        </w:tc>
        <w:tc>
          <w:tcPr>
            <w:tcW w:w="4617" w:type="dxa"/>
            <w:shd w:val="clear" w:color="auto" w:fill="auto"/>
          </w:tcPr>
          <w:p w14:paraId="34B5D9A9" w14:textId="77777777" w:rsidR="001E26E0" w:rsidRDefault="001E26E0" w:rsidP="001E26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Medicare, PPO, IFP</w:t>
            </w:r>
          </w:p>
          <w:p w14:paraId="2544E2A4" w14:textId="3F6BEAC8" w:rsidR="001E26E0" w:rsidRPr="006547A2" w:rsidRDefault="001E26E0" w:rsidP="001E26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F: Medicaid</w:t>
            </w:r>
          </w:p>
        </w:tc>
      </w:tr>
      <w:tr w:rsidR="001E26E0" w:rsidRPr="006547A2" w14:paraId="197FEE25" w14:textId="77777777" w:rsidTr="000972F9">
        <w:tc>
          <w:tcPr>
            <w:tcW w:w="3060" w:type="dxa"/>
            <w:shd w:val="clear" w:color="auto" w:fill="auto"/>
          </w:tcPr>
          <w:p w14:paraId="4190C885" w14:textId="7D5FE70D" w:rsidR="001E26E0" w:rsidRPr="006547A2" w:rsidRDefault="001E26E0" w:rsidP="001E26E0">
            <w:pPr>
              <w:rPr>
                <w:rFonts w:ascii="Verdana" w:hAnsi="Verdana" w:cs="Arial"/>
              </w:rPr>
            </w:pPr>
            <w:r w:rsidRPr="00D33629">
              <w:rPr>
                <w:rFonts w:ascii="Verdana" w:hAnsi="Verdana"/>
                <w:color w:val="000000"/>
              </w:rPr>
              <w:t>Purixan (</w:t>
            </w:r>
            <w:r w:rsidRPr="00D33629">
              <w:rPr>
                <w:rFonts w:ascii="Verdana" w:hAnsi="Verdana"/>
                <w:b/>
                <w:bCs/>
                <w:color w:val="000000"/>
              </w:rPr>
              <w:t>mercaptopurine</w:t>
            </w:r>
            <w:r w:rsidRPr="00D33629">
              <w:rPr>
                <w:rFonts w:ascii="Verdana" w:hAnsi="Verdana"/>
                <w:color w:val="000000"/>
              </w:rPr>
              <w:t>) 2000 mg/100 mL oral suspension for acute lymphoblastic leukemia</w:t>
            </w:r>
          </w:p>
        </w:tc>
        <w:tc>
          <w:tcPr>
            <w:tcW w:w="3240" w:type="dxa"/>
            <w:shd w:val="clear" w:color="auto" w:fill="auto"/>
          </w:tcPr>
          <w:p w14:paraId="3BA15E9B" w14:textId="77777777" w:rsidR="001E26E0" w:rsidRPr="00D33629" w:rsidRDefault="001E26E0" w:rsidP="001E26E0">
            <w:pPr>
              <w:rPr>
                <w:rFonts w:ascii="Verdana" w:hAnsi="Verdana"/>
              </w:rPr>
            </w:pPr>
            <w:r w:rsidRPr="00D33629">
              <w:rPr>
                <w:rFonts w:ascii="Verdana" w:hAnsi="Verdana"/>
              </w:rPr>
              <w:t>A generic version of Purixan has launched at a marginal price decrease from the branded agent.</w:t>
            </w:r>
          </w:p>
          <w:p w14:paraId="66E44406" w14:textId="77777777" w:rsidR="001E26E0" w:rsidRPr="006547A2" w:rsidRDefault="001E26E0" w:rsidP="001E26E0">
            <w:pPr>
              <w:rPr>
                <w:rFonts w:ascii="Verdana" w:hAnsi="Verdana"/>
              </w:rPr>
            </w:pPr>
          </w:p>
        </w:tc>
        <w:tc>
          <w:tcPr>
            <w:tcW w:w="4617" w:type="dxa"/>
            <w:shd w:val="clear" w:color="auto" w:fill="auto"/>
          </w:tcPr>
          <w:p w14:paraId="7736E29B" w14:textId="77777777" w:rsidR="001E26E0" w:rsidRDefault="001E26E0" w:rsidP="001E26E0">
            <w:pPr>
              <w:tabs>
                <w:tab w:val="left" w:pos="93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Medicaid, IFP</w:t>
            </w:r>
          </w:p>
          <w:p w14:paraId="0940E438" w14:textId="0FA057A9" w:rsidR="001E26E0" w:rsidRPr="006547A2" w:rsidRDefault="001E26E0" w:rsidP="001E26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F: Medicare, PPO</w:t>
            </w:r>
          </w:p>
        </w:tc>
      </w:tr>
      <w:tr w:rsidR="001E26E0" w:rsidRPr="006547A2" w14:paraId="49159885" w14:textId="77777777" w:rsidTr="000972F9">
        <w:tc>
          <w:tcPr>
            <w:tcW w:w="3060" w:type="dxa"/>
            <w:shd w:val="clear" w:color="auto" w:fill="auto"/>
          </w:tcPr>
          <w:p w14:paraId="5BDFC4F3" w14:textId="33CADE39" w:rsidR="001E26E0" w:rsidRPr="006547A2" w:rsidRDefault="001E26E0" w:rsidP="001E26E0">
            <w:pPr>
              <w:rPr>
                <w:rFonts w:ascii="Verdana" w:hAnsi="Verdana" w:cs="Arial"/>
              </w:rPr>
            </w:pPr>
            <w:r w:rsidRPr="00D33629">
              <w:rPr>
                <w:rFonts w:ascii="Verdana" w:hAnsi="Verdana"/>
                <w:color w:val="000000"/>
              </w:rPr>
              <w:t>Xarelto (</w:t>
            </w:r>
            <w:r w:rsidRPr="00D33629">
              <w:rPr>
                <w:rFonts w:ascii="Verdana" w:hAnsi="Verdana"/>
                <w:b/>
                <w:bCs/>
                <w:color w:val="000000"/>
              </w:rPr>
              <w:t>rivaroxaban</w:t>
            </w:r>
            <w:r w:rsidRPr="00D33629">
              <w:rPr>
                <w:rFonts w:ascii="Verdana" w:hAnsi="Verdana"/>
                <w:color w:val="000000"/>
              </w:rPr>
              <w:t>) 2.5 mg tablet for anticoagulation</w:t>
            </w:r>
          </w:p>
        </w:tc>
        <w:tc>
          <w:tcPr>
            <w:tcW w:w="3240" w:type="dxa"/>
            <w:shd w:val="clear" w:color="auto" w:fill="auto"/>
          </w:tcPr>
          <w:p w14:paraId="623C9CFC" w14:textId="58FC98AF" w:rsidR="001E26E0" w:rsidRPr="006547A2" w:rsidRDefault="001E26E0" w:rsidP="001E26E0">
            <w:pPr>
              <w:rPr>
                <w:rFonts w:ascii="Verdana" w:hAnsi="Verdana"/>
              </w:rPr>
            </w:pPr>
            <w:r w:rsidRPr="00D33629">
              <w:rPr>
                <w:rFonts w:ascii="Verdana" w:hAnsi="Verdana"/>
              </w:rPr>
              <w:t>Xarelto (rivaroxaban) 2.5 mg strength recently became generically available, with the higher strength tablets still only available as the brand.</w:t>
            </w:r>
          </w:p>
        </w:tc>
        <w:tc>
          <w:tcPr>
            <w:tcW w:w="4617" w:type="dxa"/>
            <w:shd w:val="clear" w:color="auto" w:fill="auto"/>
          </w:tcPr>
          <w:p w14:paraId="4A5F6795" w14:textId="78D30EBE" w:rsidR="001E26E0" w:rsidRPr="006547A2" w:rsidRDefault="001E26E0" w:rsidP="001E26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F: all lines of business</w:t>
            </w:r>
          </w:p>
        </w:tc>
      </w:tr>
      <w:tr w:rsidR="001E26E0" w:rsidRPr="006547A2" w14:paraId="1193F78A" w14:textId="77777777" w:rsidTr="000972F9">
        <w:tc>
          <w:tcPr>
            <w:tcW w:w="3060" w:type="dxa"/>
            <w:shd w:val="clear" w:color="auto" w:fill="auto"/>
          </w:tcPr>
          <w:p w14:paraId="43B9173A" w14:textId="5250A68C" w:rsidR="001E26E0" w:rsidRPr="00135AD4" w:rsidRDefault="001E26E0" w:rsidP="001E26E0">
            <w:pPr>
              <w:rPr>
                <w:rFonts w:ascii="Verdana" w:hAnsi="Verdana"/>
                <w:color w:val="000000"/>
              </w:rPr>
            </w:pPr>
            <w:r w:rsidRPr="00D33629">
              <w:rPr>
                <w:rFonts w:ascii="Verdana" w:hAnsi="Verdana"/>
                <w:b/>
                <w:bCs/>
                <w:color w:val="000000"/>
              </w:rPr>
              <w:t>Simlandi</w:t>
            </w:r>
            <w:r w:rsidRPr="00D33629">
              <w:rPr>
                <w:rFonts w:ascii="Verdana" w:hAnsi="Verdana"/>
                <w:color w:val="000000"/>
              </w:rPr>
              <w:t xml:space="preserve"> (adalimumab-ryvk) 80 mg/0.8 mL auto-injector for various inflammatory conditions</w:t>
            </w:r>
          </w:p>
        </w:tc>
        <w:tc>
          <w:tcPr>
            <w:tcW w:w="3240" w:type="dxa"/>
            <w:shd w:val="clear" w:color="auto" w:fill="auto"/>
          </w:tcPr>
          <w:p w14:paraId="04E35B02" w14:textId="77777777" w:rsidR="001E26E0" w:rsidRPr="00D33629" w:rsidRDefault="001E26E0" w:rsidP="001E26E0">
            <w:pPr>
              <w:rPr>
                <w:rFonts w:ascii="Verdana" w:hAnsi="Verdana"/>
              </w:rPr>
            </w:pPr>
            <w:r w:rsidRPr="00D33629">
              <w:rPr>
                <w:rFonts w:ascii="Verdana" w:hAnsi="Verdana"/>
              </w:rPr>
              <w:t>New 80mg autoinjector launched</w:t>
            </w:r>
          </w:p>
          <w:p w14:paraId="2EBCECF4" w14:textId="407150D0" w:rsidR="001E26E0" w:rsidRPr="00135AD4" w:rsidRDefault="001E26E0" w:rsidP="001E26E0">
            <w:pPr>
              <w:rPr>
                <w:rFonts w:ascii="Verdana" w:hAnsi="Verdana"/>
              </w:rPr>
            </w:pPr>
          </w:p>
        </w:tc>
        <w:tc>
          <w:tcPr>
            <w:tcW w:w="4617" w:type="dxa"/>
            <w:shd w:val="clear" w:color="auto" w:fill="auto"/>
          </w:tcPr>
          <w:p w14:paraId="0C72275C" w14:textId="77777777" w:rsidR="001E26E0" w:rsidRDefault="001E26E0" w:rsidP="001E26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F: Medicare, PPO, IFP</w:t>
            </w:r>
          </w:p>
          <w:p w14:paraId="20DB2129" w14:textId="125C9DA3" w:rsidR="001E26E0" w:rsidRDefault="001E26E0" w:rsidP="001E26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NP: Medicaid</w:t>
            </w:r>
          </w:p>
        </w:tc>
      </w:tr>
      <w:tr w:rsidR="001E26E0" w:rsidRPr="006547A2" w14:paraId="4F3DA528" w14:textId="77777777" w:rsidTr="000972F9">
        <w:tc>
          <w:tcPr>
            <w:tcW w:w="3060" w:type="dxa"/>
            <w:shd w:val="clear" w:color="auto" w:fill="auto"/>
          </w:tcPr>
          <w:p w14:paraId="748C3435" w14:textId="5F102196" w:rsidR="001E26E0" w:rsidRPr="00135AD4" w:rsidRDefault="001E26E0" w:rsidP="001E26E0">
            <w:pPr>
              <w:rPr>
                <w:rFonts w:ascii="Verdana" w:hAnsi="Verdana"/>
                <w:color w:val="000000"/>
              </w:rPr>
            </w:pPr>
            <w:r w:rsidRPr="00D33629">
              <w:rPr>
                <w:rFonts w:ascii="Verdana" w:hAnsi="Verdana"/>
                <w:b/>
                <w:bCs/>
                <w:color w:val="000000"/>
              </w:rPr>
              <w:t xml:space="preserve">Adalimumab-adaz </w:t>
            </w:r>
            <w:r w:rsidRPr="00D33629">
              <w:rPr>
                <w:rFonts w:ascii="Verdana" w:hAnsi="Verdana"/>
                <w:color w:val="000000"/>
              </w:rPr>
              <w:t>10 mg/0.1 mL prefilled syringe for various inflammatory conditions</w:t>
            </w:r>
          </w:p>
        </w:tc>
        <w:tc>
          <w:tcPr>
            <w:tcW w:w="3240" w:type="dxa"/>
            <w:shd w:val="clear" w:color="auto" w:fill="auto"/>
          </w:tcPr>
          <w:p w14:paraId="6259856F" w14:textId="77777777" w:rsidR="001E26E0" w:rsidRPr="00D33629" w:rsidRDefault="001E26E0" w:rsidP="001E26E0">
            <w:pPr>
              <w:rPr>
                <w:rFonts w:ascii="Verdana" w:hAnsi="Verdana"/>
              </w:rPr>
            </w:pPr>
            <w:r w:rsidRPr="00D33629">
              <w:rPr>
                <w:rFonts w:ascii="Verdana" w:hAnsi="Verdana"/>
              </w:rPr>
              <w:t>New adalimumab-adaz strength launched</w:t>
            </w:r>
          </w:p>
          <w:p w14:paraId="5DFE7AFE" w14:textId="77777777" w:rsidR="001E26E0" w:rsidRPr="00135AD4" w:rsidRDefault="001E26E0" w:rsidP="001E26E0">
            <w:pPr>
              <w:rPr>
                <w:rFonts w:ascii="Verdana" w:hAnsi="Verdana"/>
              </w:rPr>
            </w:pPr>
          </w:p>
        </w:tc>
        <w:tc>
          <w:tcPr>
            <w:tcW w:w="4617" w:type="dxa"/>
            <w:shd w:val="clear" w:color="auto" w:fill="auto"/>
          </w:tcPr>
          <w:p w14:paraId="3E6E3003" w14:textId="77777777" w:rsidR="001E26E0" w:rsidRDefault="001E26E0" w:rsidP="001E26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Medicare, PPO, IFP</w:t>
            </w:r>
          </w:p>
          <w:p w14:paraId="3DE9D92F" w14:textId="2434B13E" w:rsidR="001E26E0" w:rsidRDefault="001E26E0" w:rsidP="001E26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NP: Medicaid</w:t>
            </w:r>
          </w:p>
        </w:tc>
      </w:tr>
      <w:tr w:rsidR="001E26E0" w:rsidRPr="006547A2" w14:paraId="748F7AA9" w14:textId="77777777" w:rsidTr="000972F9">
        <w:tc>
          <w:tcPr>
            <w:tcW w:w="3060" w:type="dxa"/>
            <w:shd w:val="clear" w:color="auto" w:fill="auto"/>
          </w:tcPr>
          <w:p w14:paraId="3DEBE501" w14:textId="20D54ACD" w:rsidR="001E26E0" w:rsidRPr="00135AD4" w:rsidRDefault="001E26E0" w:rsidP="001E26E0">
            <w:pPr>
              <w:rPr>
                <w:rFonts w:ascii="Verdana" w:hAnsi="Verdana"/>
                <w:color w:val="000000"/>
              </w:rPr>
            </w:pPr>
            <w:r w:rsidRPr="00D33629">
              <w:rPr>
                <w:rFonts w:ascii="Verdana" w:hAnsi="Verdana"/>
                <w:color w:val="000000"/>
              </w:rPr>
              <w:t>Auryxia (</w:t>
            </w:r>
            <w:r w:rsidRPr="00D33629">
              <w:rPr>
                <w:rFonts w:ascii="Verdana" w:hAnsi="Verdana"/>
                <w:b/>
                <w:bCs/>
                <w:color w:val="000000"/>
              </w:rPr>
              <w:t>ferric citrate</w:t>
            </w:r>
            <w:r w:rsidRPr="00D33629">
              <w:rPr>
                <w:rFonts w:ascii="Verdana" w:hAnsi="Verdana"/>
                <w:color w:val="000000"/>
              </w:rPr>
              <w:t>) 1 gm (210 mg ferric iron) for hyperphosphatemia and iron deficient anemia in CKD</w:t>
            </w:r>
          </w:p>
        </w:tc>
        <w:tc>
          <w:tcPr>
            <w:tcW w:w="3240" w:type="dxa"/>
            <w:shd w:val="clear" w:color="auto" w:fill="auto"/>
          </w:tcPr>
          <w:p w14:paraId="620EC825" w14:textId="77777777" w:rsidR="001E26E0" w:rsidRPr="00D33629" w:rsidRDefault="001E26E0" w:rsidP="001E26E0">
            <w:pPr>
              <w:rPr>
                <w:rFonts w:ascii="Verdana" w:hAnsi="Verdana"/>
              </w:rPr>
            </w:pPr>
            <w:r w:rsidRPr="00D33629">
              <w:rPr>
                <w:rFonts w:ascii="Verdana" w:hAnsi="Verdana"/>
              </w:rPr>
              <w:t>Ferric citrate authorized generic launched at a ~9% discount from the branded product.</w:t>
            </w:r>
          </w:p>
          <w:p w14:paraId="7E6E858D" w14:textId="77777777" w:rsidR="001E26E0" w:rsidRPr="00135AD4" w:rsidRDefault="001E26E0" w:rsidP="001E26E0">
            <w:pPr>
              <w:rPr>
                <w:rFonts w:ascii="Verdana" w:hAnsi="Verdana"/>
              </w:rPr>
            </w:pPr>
          </w:p>
        </w:tc>
        <w:tc>
          <w:tcPr>
            <w:tcW w:w="4617" w:type="dxa"/>
            <w:shd w:val="clear" w:color="auto" w:fill="auto"/>
          </w:tcPr>
          <w:p w14:paraId="5797F54F" w14:textId="77777777" w:rsidR="001E26E0" w:rsidRPr="00974FC7" w:rsidRDefault="001E26E0" w:rsidP="001E26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  <w:p w14:paraId="1D6987E7" w14:textId="1C9465B0" w:rsidR="001E26E0" w:rsidRDefault="001E26E0" w:rsidP="001E26E0">
            <w:pPr>
              <w:rPr>
                <w:rFonts w:ascii="Verdana" w:hAnsi="Verdana"/>
              </w:rPr>
            </w:pPr>
          </w:p>
        </w:tc>
      </w:tr>
      <w:tr w:rsidR="001E26E0" w:rsidRPr="006547A2" w14:paraId="6191D9D1" w14:textId="77777777" w:rsidTr="000972F9">
        <w:tc>
          <w:tcPr>
            <w:tcW w:w="3060" w:type="dxa"/>
            <w:shd w:val="clear" w:color="auto" w:fill="auto"/>
          </w:tcPr>
          <w:p w14:paraId="4BA66FA6" w14:textId="77777777" w:rsidR="001E26E0" w:rsidRPr="00D33629" w:rsidRDefault="001E26E0" w:rsidP="001E26E0">
            <w:pPr>
              <w:rPr>
                <w:rFonts w:ascii="Verdana" w:hAnsi="Verdana"/>
                <w:color w:val="000000"/>
              </w:rPr>
            </w:pPr>
            <w:r w:rsidRPr="00D33629">
              <w:rPr>
                <w:rFonts w:ascii="Verdana" w:hAnsi="Verdana"/>
                <w:b/>
                <w:bCs/>
                <w:color w:val="000000"/>
              </w:rPr>
              <w:t xml:space="preserve">Sandostatin LAR Depot </w:t>
            </w:r>
            <w:r w:rsidRPr="00D33629">
              <w:rPr>
                <w:rFonts w:ascii="Verdana" w:hAnsi="Verdana"/>
                <w:color w:val="000000"/>
              </w:rPr>
              <w:t>(octreotide) 10 mg IM</w:t>
            </w:r>
          </w:p>
          <w:p w14:paraId="123BCFA2" w14:textId="4B1611B7" w:rsidR="001E26E0" w:rsidRPr="00D33629" w:rsidRDefault="001E26E0" w:rsidP="001E26E0">
            <w:pPr>
              <w:rPr>
                <w:rFonts w:ascii="Verdana" w:hAnsi="Verdana"/>
                <w:color w:val="000000"/>
              </w:rPr>
            </w:pPr>
            <w:r w:rsidRPr="00D33629">
              <w:rPr>
                <w:rFonts w:ascii="Verdana" w:hAnsi="Verdana"/>
                <w:color w:val="000000"/>
              </w:rPr>
              <w:t>kit for acromegaly &amp; severe diarrhea with certain tumors</w:t>
            </w:r>
          </w:p>
        </w:tc>
        <w:tc>
          <w:tcPr>
            <w:tcW w:w="3240" w:type="dxa"/>
            <w:shd w:val="clear" w:color="auto" w:fill="auto"/>
          </w:tcPr>
          <w:p w14:paraId="7E0BA994" w14:textId="77777777" w:rsidR="001E26E0" w:rsidRPr="00D33629" w:rsidRDefault="001E26E0" w:rsidP="001E26E0">
            <w:pPr>
              <w:rPr>
                <w:rFonts w:ascii="Verdana" w:hAnsi="Verdana"/>
              </w:rPr>
            </w:pPr>
            <w:r w:rsidRPr="00D33629">
              <w:rPr>
                <w:rFonts w:ascii="Verdana" w:hAnsi="Verdana"/>
              </w:rPr>
              <w:t>New generic launch of 10mg alongside 20mg and 30mg</w:t>
            </w:r>
          </w:p>
          <w:p w14:paraId="1B993B0B" w14:textId="77777777" w:rsidR="001E26E0" w:rsidRPr="00D33629" w:rsidRDefault="001E26E0" w:rsidP="001E26E0">
            <w:pPr>
              <w:rPr>
                <w:rFonts w:ascii="Verdana" w:hAnsi="Verdana"/>
              </w:rPr>
            </w:pPr>
          </w:p>
        </w:tc>
        <w:tc>
          <w:tcPr>
            <w:tcW w:w="4617" w:type="dxa"/>
            <w:shd w:val="clear" w:color="auto" w:fill="auto"/>
          </w:tcPr>
          <w:p w14:paraId="1621B9D0" w14:textId="77777777" w:rsidR="001E26E0" w:rsidRPr="00974FC7" w:rsidRDefault="001E26E0" w:rsidP="001E26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  <w:p w14:paraId="607AC985" w14:textId="77777777" w:rsidR="001E26E0" w:rsidRDefault="001E26E0" w:rsidP="001E26E0">
            <w:pPr>
              <w:rPr>
                <w:rFonts w:ascii="Verdana" w:hAnsi="Verdana"/>
              </w:rPr>
            </w:pPr>
          </w:p>
        </w:tc>
      </w:tr>
      <w:tr w:rsidR="001E26E0" w:rsidRPr="006547A2" w14:paraId="2BD76619" w14:textId="77777777" w:rsidTr="000972F9">
        <w:tc>
          <w:tcPr>
            <w:tcW w:w="3060" w:type="dxa"/>
            <w:shd w:val="clear" w:color="auto" w:fill="auto"/>
          </w:tcPr>
          <w:p w14:paraId="7861CE6E" w14:textId="326D583C" w:rsidR="001E26E0" w:rsidRPr="00D33629" w:rsidRDefault="001E26E0" w:rsidP="001E26E0">
            <w:pPr>
              <w:rPr>
                <w:rFonts w:ascii="Verdana" w:hAnsi="Verdana"/>
                <w:b/>
                <w:bCs/>
                <w:color w:val="000000"/>
              </w:rPr>
            </w:pPr>
            <w:r w:rsidRPr="00D33629">
              <w:rPr>
                <w:rFonts w:ascii="Verdana" w:hAnsi="Verdana"/>
                <w:color w:val="000000"/>
              </w:rPr>
              <w:t>Brilinta (</w:t>
            </w:r>
            <w:r w:rsidRPr="00D33629">
              <w:rPr>
                <w:rFonts w:ascii="Verdana" w:hAnsi="Verdana"/>
                <w:b/>
                <w:bCs/>
                <w:color w:val="000000"/>
              </w:rPr>
              <w:t>ticagrelor</w:t>
            </w:r>
            <w:r w:rsidRPr="00D33629">
              <w:rPr>
                <w:rFonts w:ascii="Verdana" w:hAnsi="Verdana"/>
                <w:color w:val="000000"/>
              </w:rPr>
              <w:t>) 60 mg &amp; 90 mg tablets antiplatelet therapy</w:t>
            </w:r>
          </w:p>
        </w:tc>
        <w:tc>
          <w:tcPr>
            <w:tcW w:w="3240" w:type="dxa"/>
            <w:shd w:val="clear" w:color="auto" w:fill="auto"/>
          </w:tcPr>
          <w:p w14:paraId="5B394F2A" w14:textId="1CFF610B" w:rsidR="001E26E0" w:rsidRPr="00D33629" w:rsidRDefault="001E26E0" w:rsidP="001E26E0">
            <w:pPr>
              <w:rPr>
                <w:rFonts w:ascii="Verdana" w:hAnsi="Verdana"/>
              </w:rPr>
            </w:pPr>
            <w:r w:rsidRPr="00D33629">
              <w:rPr>
                <w:rFonts w:ascii="Verdana" w:hAnsi="Verdana"/>
              </w:rPr>
              <w:t xml:space="preserve">A generic has launched for both the 60 mg and 90 mg </w:t>
            </w:r>
            <w:r w:rsidRPr="00D33629">
              <w:rPr>
                <w:rFonts w:ascii="Verdana" w:hAnsi="Verdana"/>
              </w:rPr>
              <w:lastRenderedPageBreak/>
              <w:t>strengths of ticagrelor (Brilinta equiv) tablets.</w:t>
            </w:r>
          </w:p>
        </w:tc>
        <w:tc>
          <w:tcPr>
            <w:tcW w:w="4617" w:type="dxa"/>
            <w:shd w:val="clear" w:color="auto" w:fill="auto"/>
          </w:tcPr>
          <w:p w14:paraId="40B979F6" w14:textId="77777777" w:rsidR="001E26E0" w:rsidRPr="00974FC7" w:rsidRDefault="001E26E0" w:rsidP="001E26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F: all lines of business</w:t>
            </w:r>
          </w:p>
          <w:p w14:paraId="409EEC2E" w14:textId="77777777" w:rsidR="001E26E0" w:rsidRDefault="001E26E0" w:rsidP="001E26E0">
            <w:pPr>
              <w:rPr>
                <w:rFonts w:ascii="Verdana" w:hAnsi="Verdana"/>
              </w:rPr>
            </w:pPr>
          </w:p>
        </w:tc>
      </w:tr>
      <w:tr w:rsidR="001E26E0" w:rsidRPr="006547A2" w14:paraId="5F37C654" w14:textId="77777777" w:rsidTr="000972F9">
        <w:tc>
          <w:tcPr>
            <w:tcW w:w="3060" w:type="dxa"/>
            <w:shd w:val="clear" w:color="auto" w:fill="auto"/>
          </w:tcPr>
          <w:p w14:paraId="3D2343BF" w14:textId="6E023A75" w:rsidR="001E26E0" w:rsidRPr="00D33629" w:rsidRDefault="001E26E0" w:rsidP="001E26E0">
            <w:pPr>
              <w:rPr>
                <w:rFonts w:ascii="Verdana" w:hAnsi="Verdana"/>
                <w:color w:val="000000"/>
              </w:rPr>
            </w:pPr>
            <w:r w:rsidRPr="00D33629">
              <w:rPr>
                <w:rFonts w:ascii="Verdana" w:hAnsi="Verdana"/>
                <w:color w:val="000000"/>
              </w:rPr>
              <w:t>Anoro Ellipta (</w:t>
            </w:r>
            <w:r w:rsidRPr="00D33629">
              <w:rPr>
                <w:rFonts w:ascii="Verdana" w:hAnsi="Verdana"/>
                <w:b/>
                <w:bCs/>
                <w:color w:val="000000"/>
              </w:rPr>
              <w:t>umeclidinium-vilanterol</w:t>
            </w:r>
            <w:r w:rsidRPr="00D33629">
              <w:rPr>
                <w:rFonts w:ascii="Verdana" w:hAnsi="Verdana"/>
                <w:color w:val="000000"/>
              </w:rPr>
              <w:t>) 62.5-25 mcg/act inhaler for COPD</w:t>
            </w:r>
          </w:p>
        </w:tc>
        <w:tc>
          <w:tcPr>
            <w:tcW w:w="3240" w:type="dxa"/>
            <w:shd w:val="clear" w:color="auto" w:fill="auto"/>
          </w:tcPr>
          <w:p w14:paraId="0CEAC810" w14:textId="2A1B4F84" w:rsidR="001E26E0" w:rsidRPr="00D33629" w:rsidRDefault="001E26E0" w:rsidP="001E26E0">
            <w:pPr>
              <w:rPr>
                <w:rFonts w:ascii="Verdana" w:hAnsi="Verdana"/>
              </w:rPr>
            </w:pPr>
            <w:r w:rsidRPr="00D33629">
              <w:rPr>
                <w:rFonts w:ascii="Verdana" w:hAnsi="Verdana"/>
              </w:rPr>
              <w:t>A new AG of umeclidinium-vilanterol recently launched. Anoro Ellipta is rebated and is lower net cost than the AG, which only has a 5% AWP reduction from the original branded product.</w:t>
            </w:r>
          </w:p>
        </w:tc>
        <w:tc>
          <w:tcPr>
            <w:tcW w:w="4617" w:type="dxa"/>
            <w:shd w:val="clear" w:color="auto" w:fill="auto"/>
          </w:tcPr>
          <w:p w14:paraId="6E06A316" w14:textId="77777777" w:rsidR="001E26E0" w:rsidRDefault="001E26E0" w:rsidP="001E26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Medicare, PPO, IFP</w:t>
            </w:r>
          </w:p>
          <w:p w14:paraId="2609C0D7" w14:textId="0FAB6B25" w:rsidR="001E26E0" w:rsidRDefault="001E26E0" w:rsidP="001E26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F: Medicaid</w:t>
            </w:r>
          </w:p>
        </w:tc>
      </w:tr>
      <w:tr w:rsidR="001E26E0" w:rsidRPr="006547A2" w14:paraId="03000AA7" w14:textId="77777777" w:rsidTr="000972F9">
        <w:tc>
          <w:tcPr>
            <w:tcW w:w="3060" w:type="dxa"/>
            <w:shd w:val="clear" w:color="auto" w:fill="auto"/>
          </w:tcPr>
          <w:p w14:paraId="534E1B7A" w14:textId="2698DB0E" w:rsidR="001E26E0" w:rsidRPr="00D33629" w:rsidRDefault="001E26E0" w:rsidP="001E26E0">
            <w:pPr>
              <w:rPr>
                <w:rFonts w:ascii="Verdana" w:hAnsi="Verdana"/>
                <w:color w:val="000000"/>
              </w:rPr>
            </w:pPr>
            <w:r w:rsidRPr="00D33629">
              <w:rPr>
                <w:rFonts w:ascii="Verdana" w:hAnsi="Verdana"/>
                <w:b/>
                <w:bCs/>
                <w:color w:val="000000"/>
              </w:rPr>
              <w:t>Adalimumab-aaty</w:t>
            </w:r>
            <w:r w:rsidRPr="00D33629">
              <w:rPr>
                <w:rFonts w:ascii="Verdana" w:hAnsi="Verdana"/>
                <w:color w:val="000000"/>
              </w:rPr>
              <w:t xml:space="preserve"> 80 mg/0.8 mL starter kit [3 auto-injectors] for various inflammatory conditions</w:t>
            </w:r>
          </w:p>
        </w:tc>
        <w:tc>
          <w:tcPr>
            <w:tcW w:w="3240" w:type="dxa"/>
            <w:shd w:val="clear" w:color="auto" w:fill="auto"/>
          </w:tcPr>
          <w:p w14:paraId="7680EC10" w14:textId="0F266054" w:rsidR="001E26E0" w:rsidRPr="00D33629" w:rsidRDefault="001E26E0" w:rsidP="001E26E0">
            <w:pPr>
              <w:rPr>
                <w:rFonts w:ascii="Verdana" w:hAnsi="Verdana"/>
              </w:rPr>
            </w:pPr>
            <w:r w:rsidRPr="00D33629">
              <w:rPr>
                <w:rFonts w:ascii="Verdana" w:hAnsi="Verdana"/>
              </w:rPr>
              <w:t>An 80 mg, 3 dose starter kit for adalimumab-aaty has launched to support new patients using the product for Crohn’s, ulcerative colitis, or hidradenitis suppurativa.</w:t>
            </w:r>
          </w:p>
        </w:tc>
        <w:tc>
          <w:tcPr>
            <w:tcW w:w="4617" w:type="dxa"/>
            <w:shd w:val="clear" w:color="auto" w:fill="auto"/>
          </w:tcPr>
          <w:p w14:paraId="2D4919A7" w14:textId="77777777" w:rsidR="001E26E0" w:rsidRDefault="001E26E0" w:rsidP="001E26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F: Medicare, PPO, IFP</w:t>
            </w:r>
          </w:p>
          <w:p w14:paraId="4AED0C5C" w14:textId="6869F102" w:rsidR="001E26E0" w:rsidRDefault="001E26E0" w:rsidP="001E26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NP: Medicaid</w:t>
            </w:r>
          </w:p>
        </w:tc>
      </w:tr>
      <w:tr w:rsidR="001E26E0" w:rsidRPr="006547A2" w14:paraId="18B7E7B0" w14:textId="77777777" w:rsidTr="000972F9">
        <w:tc>
          <w:tcPr>
            <w:tcW w:w="3060" w:type="dxa"/>
            <w:shd w:val="clear" w:color="auto" w:fill="auto"/>
          </w:tcPr>
          <w:p w14:paraId="142A91B2" w14:textId="2427FAAA" w:rsidR="001E26E0" w:rsidRPr="00D33629" w:rsidRDefault="001E26E0" w:rsidP="001E26E0">
            <w:pPr>
              <w:rPr>
                <w:rFonts w:ascii="Verdana" w:hAnsi="Verdana"/>
                <w:b/>
                <w:bCs/>
                <w:color w:val="000000"/>
              </w:rPr>
            </w:pPr>
            <w:r w:rsidRPr="00D33629">
              <w:rPr>
                <w:rFonts w:ascii="Verdana" w:hAnsi="Verdana"/>
                <w:color w:val="000000"/>
              </w:rPr>
              <w:t>J&amp;J unbranded Stelara (</w:t>
            </w:r>
            <w:r w:rsidRPr="00D33629">
              <w:rPr>
                <w:rFonts w:ascii="Verdana" w:hAnsi="Verdana"/>
                <w:b/>
                <w:bCs/>
                <w:color w:val="000000"/>
              </w:rPr>
              <w:t>ustekinumab</w:t>
            </w:r>
            <w:r w:rsidRPr="00D33629">
              <w:rPr>
                <w:rFonts w:ascii="Verdana" w:hAnsi="Verdana"/>
                <w:color w:val="000000"/>
              </w:rPr>
              <w:t>) products</w:t>
            </w:r>
          </w:p>
        </w:tc>
        <w:tc>
          <w:tcPr>
            <w:tcW w:w="3240" w:type="dxa"/>
            <w:shd w:val="clear" w:color="auto" w:fill="auto"/>
          </w:tcPr>
          <w:p w14:paraId="402407F8" w14:textId="6AE8321F" w:rsidR="001E26E0" w:rsidRPr="00D33629" w:rsidRDefault="001E26E0" w:rsidP="001E26E0">
            <w:pPr>
              <w:rPr>
                <w:rFonts w:ascii="Verdana" w:hAnsi="Verdana"/>
              </w:rPr>
            </w:pPr>
            <w:r w:rsidRPr="00D33629">
              <w:rPr>
                <w:rFonts w:ascii="Verdana" w:hAnsi="Verdana"/>
              </w:rPr>
              <w:t>The manufacturer of Stelara, Johnson &amp; Johnson, has released an unbranded version at a 75% list price discount for the prefilled syringes, 25% discount for the single use SC vial formulation, and 15% discount for the IV vial formulation.</w:t>
            </w:r>
          </w:p>
        </w:tc>
        <w:tc>
          <w:tcPr>
            <w:tcW w:w="4617" w:type="dxa"/>
            <w:shd w:val="clear" w:color="auto" w:fill="auto"/>
          </w:tcPr>
          <w:p w14:paraId="359BAF77" w14:textId="77777777" w:rsidR="001E26E0" w:rsidRPr="00974FC7" w:rsidRDefault="001E26E0" w:rsidP="001E26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  <w:p w14:paraId="415298AC" w14:textId="77777777" w:rsidR="001E26E0" w:rsidRDefault="001E26E0" w:rsidP="001E26E0">
            <w:pPr>
              <w:rPr>
                <w:rFonts w:ascii="Verdana" w:hAnsi="Verdana"/>
              </w:rPr>
            </w:pPr>
          </w:p>
        </w:tc>
      </w:tr>
    </w:tbl>
    <w:p w14:paraId="2ED2C6E8" w14:textId="77777777" w:rsidR="00D35DC6" w:rsidRDefault="00D35DC6" w:rsidP="00E32DDA">
      <w:pPr>
        <w:rPr>
          <w:rFonts w:ascii="Verdana" w:eastAsia="Times New Roman" w:hAnsi="Verdana" w:cs="Arial"/>
          <w:b/>
          <w:sz w:val="20"/>
          <w:szCs w:val="20"/>
        </w:rPr>
      </w:pPr>
    </w:p>
    <w:tbl>
      <w:tblPr>
        <w:tblStyle w:val="LightList-Accent5"/>
        <w:tblW w:w="10885" w:type="dxa"/>
        <w:tblInd w:w="-95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10885"/>
      </w:tblGrid>
      <w:tr w:rsidR="001E26E0" w:rsidRPr="006547A2" w14:paraId="2E9BE8D3" w14:textId="77777777" w:rsidTr="005462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shd w:val="clear" w:color="auto" w:fill="00205B"/>
          </w:tcPr>
          <w:p w14:paraId="59806B29" w14:textId="77777777" w:rsidR="001E26E0" w:rsidRPr="006547A2" w:rsidRDefault="001E26E0" w:rsidP="005462E3">
            <w:pPr>
              <w:spacing w:after="240"/>
              <w:rPr>
                <w:rFonts w:ascii="Verdana" w:eastAsia="Times New Roman" w:hAnsi="Verdana" w:cs="Arial"/>
              </w:rPr>
            </w:pPr>
            <w:r w:rsidRPr="006547A2">
              <w:rPr>
                <w:rFonts w:ascii="Verdana" w:eastAsia="Times New Roman" w:hAnsi="Verdana" w:cs="Arial"/>
              </w:rPr>
              <w:t xml:space="preserve">New or Expanded Formulations </w:t>
            </w:r>
          </w:p>
        </w:tc>
      </w:tr>
    </w:tbl>
    <w:tbl>
      <w:tblPr>
        <w:tblStyle w:val="TableGrid"/>
        <w:tblW w:w="10917" w:type="dxa"/>
        <w:tblInd w:w="-95" w:type="dxa"/>
        <w:tblLook w:val="04A0" w:firstRow="1" w:lastRow="0" w:firstColumn="1" w:lastColumn="0" w:noHBand="0" w:noVBand="1"/>
      </w:tblPr>
      <w:tblGrid>
        <w:gridCol w:w="3060"/>
        <w:gridCol w:w="3240"/>
        <w:gridCol w:w="4617"/>
      </w:tblGrid>
      <w:tr w:rsidR="001E26E0" w:rsidRPr="006547A2" w14:paraId="6E477BCB" w14:textId="77777777" w:rsidTr="000972F9">
        <w:trPr>
          <w:trHeight w:val="566"/>
        </w:trPr>
        <w:tc>
          <w:tcPr>
            <w:tcW w:w="3060" w:type="dxa"/>
          </w:tcPr>
          <w:p w14:paraId="2E3FB3D4" w14:textId="77777777" w:rsidR="001E26E0" w:rsidRPr="006547A2" w:rsidRDefault="001E26E0" w:rsidP="005462E3">
            <w:pPr>
              <w:spacing w:after="240"/>
              <w:rPr>
                <w:rFonts w:ascii="Verdana" w:eastAsia="Times New Roman" w:hAnsi="Verdana" w:cs="Arial"/>
              </w:rPr>
            </w:pPr>
            <w:r w:rsidRPr="006547A2">
              <w:rPr>
                <w:rFonts w:ascii="Verdana" w:hAnsi="Verdana"/>
                <w:b/>
                <w:bCs/>
              </w:rPr>
              <w:t>Drug</w:t>
            </w:r>
          </w:p>
        </w:tc>
        <w:tc>
          <w:tcPr>
            <w:tcW w:w="3240" w:type="dxa"/>
          </w:tcPr>
          <w:p w14:paraId="5CE2A94D" w14:textId="77777777" w:rsidR="001E26E0" w:rsidRPr="006547A2" w:rsidRDefault="001E26E0" w:rsidP="005462E3">
            <w:pPr>
              <w:spacing w:after="240"/>
              <w:rPr>
                <w:rFonts w:ascii="Verdana" w:eastAsia="Times New Roman" w:hAnsi="Verdana" w:cs="Arial"/>
                <w:b/>
                <w:bCs/>
              </w:rPr>
            </w:pPr>
            <w:r w:rsidRPr="006547A2">
              <w:rPr>
                <w:rFonts w:ascii="Verdana" w:eastAsia="Times New Roman" w:hAnsi="Verdana" w:cs="Arial"/>
                <w:b/>
                <w:bCs/>
              </w:rPr>
              <w:t>Rationale/Alternative</w:t>
            </w:r>
          </w:p>
        </w:tc>
        <w:tc>
          <w:tcPr>
            <w:tcW w:w="4617" w:type="dxa"/>
          </w:tcPr>
          <w:p w14:paraId="7E85CE47" w14:textId="77777777" w:rsidR="001E26E0" w:rsidRPr="006547A2" w:rsidRDefault="001E26E0" w:rsidP="005462E3">
            <w:pPr>
              <w:spacing w:after="240"/>
              <w:rPr>
                <w:rFonts w:ascii="Verdana" w:eastAsia="Times New Roman" w:hAnsi="Verdana" w:cs="Arial"/>
              </w:rPr>
            </w:pPr>
            <w:r w:rsidRPr="006547A2">
              <w:rPr>
                <w:rFonts w:ascii="Verdana" w:hAnsi="Verdana"/>
                <w:b/>
              </w:rPr>
              <w:t>Recommendation</w:t>
            </w:r>
          </w:p>
        </w:tc>
      </w:tr>
      <w:tr w:rsidR="001E26E0" w:rsidRPr="006547A2" w14:paraId="70F49767" w14:textId="77777777" w:rsidTr="000972F9">
        <w:tc>
          <w:tcPr>
            <w:tcW w:w="3060" w:type="dxa"/>
            <w:shd w:val="clear" w:color="auto" w:fill="auto"/>
          </w:tcPr>
          <w:p w14:paraId="4764FA48" w14:textId="6C7D2A1A" w:rsidR="001E26E0" w:rsidRPr="00876AB4" w:rsidRDefault="001E26E0" w:rsidP="001E26E0">
            <w:pPr>
              <w:rPr>
                <w:rFonts w:ascii="Verdana" w:hAnsi="Verdana" w:cs="Arial"/>
              </w:rPr>
            </w:pPr>
            <w:r w:rsidRPr="00D33629">
              <w:rPr>
                <w:rFonts w:ascii="Verdana" w:hAnsi="Verdana"/>
                <w:b/>
                <w:bCs/>
                <w:lang w:val="pt-BR"/>
              </w:rPr>
              <w:t>Ergomar</w:t>
            </w:r>
            <w:r w:rsidRPr="00D33629">
              <w:rPr>
                <w:rFonts w:ascii="Verdana" w:hAnsi="Verdana"/>
                <w:lang w:val="pt-BR"/>
              </w:rPr>
              <w:t xml:space="preserve"> (ergotamine) 2 mg sublingual tablet for migraine</w:t>
            </w:r>
          </w:p>
        </w:tc>
        <w:tc>
          <w:tcPr>
            <w:tcW w:w="3240" w:type="dxa"/>
            <w:shd w:val="clear" w:color="auto" w:fill="auto"/>
          </w:tcPr>
          <w:p w14:paraId="137FA436" w14:textId="19F185E3" w:rsidR="001E26E0" w:rsidRPr="006547A2" w:rsidRDefault="001E26E0" w:rsidP="001E26E0">
            <w:pPr>
              <w:rPr>
                <w:rFonts w:ascii="Verdana" w:hAnsi="Verdana"/>
              </w:rPr>
            </w:pPr>
            <w:r w:rsidRPr="00071C0D">
              <w:rPr>
                <w:rFonts w:ascii="Verdana" w:hAnsi="Verdana"/>
              </w:rPr>
              <w:t>An additional ergotamine sublingual tablet NDC launched. This product was originally FDA approved in the 1980s and is not commonly used, with many alternative preferred treatment options for migraine available.</w:t>
            </w:r>
          </w:p>
        </w:tc>
        <w:tc>
          <w:tcPr>
            <w:tcW w:w="4617" w:type="dxa"/>
            <w:shd w:val="clear" w:color="auto" w:fill="auto"/>
          </w:tcPr>
          <w:p w14:paraId="3110B9B8" w14:textId="77777777" w:rsidR="001E26E0" w:rsidRDefault="001E26E0" w:rsidP="001E26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Medicare, PPO, Medicaid</w:t>
            </w:r>
          </w:p>
          <w:p w14:paraId="22CB6BD5" w14:textId="69B19745" w:rsidR="001E26E0" w:rsidRPr="006547A2" w:rsidRDefault="001E26E0" w:rsidP="001E26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F: IFP</w:t>
            </w:r>
          </w:p>
        </w:tc>
      </w:tr>
      <w:tr w:rsidR="001E26E0" w:rsidRPr="006547A2" w14:paraId="03C52618" w14:textId="77777777" w:rsidTr="000972F9">
        <w:tc>
          <w:tcPr>
            <w:tcW w:w="3060" w:type="dxa"/>
            <w:shd w:val="clear" w:color="auto" w:fill="auto"/>
          </w:tcPr>
          <w:p w14:paraId="72614021" w14:textId="2DAEBCFA" w:rsidR="001E26E0" w:rsidRPr="006547A2" w:rsidRDefault="001E26E0" w:rsidP="001E26E0">
            <w:pPr>
              <w:rPr>
                <w:rFonts w:ascii="Verdana" w:hAnsi="Verdana" w:cs="Arial"/>
              </w:rPr>
            </w:pPr>
            <w:r w:rsidRPr="00D33629">
              <w:rPr>
                <w:rFonts w:ascii="Verdana" w:hAnsi="Verdana"/>
                <w:b/>
                <w:bCs/>
              </w:rPr>
              <w:t>Evrysdi</w:t>
            </w:r>
            <w:r w:rsidRPr="00D33629">
              <w:rPr>
                <w:rFonts w:ascii="Verdana" w:hAnsi="Verdana"/>
              </w:rPr>
              <w:t xml:space="preserve"> (risdiplam) 5 mg tablet for spinal muscular atrophy</w:t>
            </w:r>
          </w:p>
        </w:tc>
        <w:tc>
          <w:tcPr>
            <w:tcW w:w="3240" w:type="dxa"/>
            <w:shd w:val="clear" w:color="auto" w:fill="auto"/>
          </w:tcPr>
          <w:p w14:paraId="71717DF7" w14:textId="57BB578F" w:rsidR="001E26E0" w:rsidRPr="006547A2" w:rsidRDefault="001E26E0" w:rsidP="001E26E0">
            <w:pPr>
              <w:rPr>
                <w:rFonts w:ascii="Verdana" w:hAnsi="Verdana"/>
              </w:rPr>
            </w:pPr>
            <w:r w:rsidRPr="00071C0D">
              <w:rPr>
                <w:rFonts w:ascii="Verdana" w:hAnsi="Verdana"/>
              </w:rPr>
              <w:t xml:space="preserve">Risdiplam for spinal muscular atrophy, previously available only as an oral solution, is now available as a tablet, </w:t>
            </w:r>
            <w:r w:rsidRPr="00071C0D">
              <w:rPr>
                <w:rFonts w:ascii="Verdana" w:hAnsi="Verdana"/>
              </w:rPr>
              <w:lastRenderedPageBreak/>
              <w:t>offering an alternative dosage form for patients able to take tablets.</w:t>
            </w:r>
          </w:p>
        </w:tc>
        <w:tc>
          <w:tcPr>
            <w:tcW w:w="4617" w:type="dxa"/>
            <w:shd w:val="clear" w:color="auto" w:fill="auto"/>
          </w:tcPr>
          <w:p w14:paraId="6E803387" w14:textId="77777777" w:rsidR="001E26E0" w:rsidRDefault="001E26E0" w:rsidP="001E26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NF: Medicare, PPO, IFP</w:t>
            </w:r>
          </w:p>
          <w:p w14:paraId="29FA5615" w14:textId="4745AE2A" w:rsidR="001E26E0" w:rsidRPr="006547A2" w:rsidRDefault="001E26E0" w:rsidP="001E26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F: Medicaid</w:t>
            </w:r>
          </w:p>
        </w:tc>
      </w:tr>
      <w:tr w:rsidR="001E26E0" w:rsidRPr="006547A2" w14:paraId="3708724A" w14:textId="77777777" w:rsidTr="000972F9">
        <w:tc>
          <w:tcPr>
            <w:tcW w:w="3060" w:type="dxa"/>
            <w:shd w:val="clear" w:color="auto" w:fill="auto"/>
          </w:tcPr>
          <w:p w14:paraId="3D531E9E" w14:textId="769DB21B" w:rsidR="001E26E0" w:rsidRPr="006547A2" w:rsidRDefault="001E26E0" w:rsidP="001E26E0">
            <w:pPr>
              <w:rPr>
                <w:rFonts w:ascii="Verdana" w:hAnsi="Verdana" w:cs="Arial"/>
              </w:rPr>
            </w:pPr>
            <w:r w:rsidRPr="00D33629">
              <w:rPr>
                <w:rFonts w:ascii="Verdana" w:hAnsi="Verdana"/>
                <w:b/>
                <w:bCs/>
                <w:color w:val="000000"/>
              </w:rPr>
              <w:t>Palforzia</w:t>
            </w:r>
            <w:r w:rsidRPr="00D33629">
              <w:rPr>
                <w:rFonts w:ascii="Verdana" w:hAnsi="Verdana"/>
                <w:color w:val="000000"/>
              </w:rPr>
              <w:t xml:space="preserve"> (peanut powder) 0.5 mg/1 mg/1.5 mg/3 mg starter pack and 1 mg sprinkle capsules for peanut allergy desensitization</w:t>
            </w:r>
          </w:p>
        </w:tc>
        <w:tc>
          <w:tcPr>
            <w:tcW w:w="3240" w:type="dxa"/>
            <w:shd w:val="clear" w:color="auto" w:fill="auto"/>
          </w:tcPr>
          <w:p w14:paraId="50C64AED" w14:textId="77777777" w:rsidR="001E26E0" w:rsidRPr="00071C0D" w:rsidRDefault="001E26E0" w:rsidP="001E26E0">
            <w:pPr>
              <w:rPr>
                <w:rFonts w:ascii="Verdana" w:hAnsi="Verdana"/>
              </w:rPr>
            </w:pPr>
            <w:r w:rsidRPr="00071C0D">
              <w:rPr>
                <w:rFonts w:ascii="Verdana" w:hAnsi="Verdana"/>
              </w:rPr>
              <w:t>New strengths and packs of peanut powder recently launched to accommodate the dosing regimen for the age expansion down to 1 year of age</w:t>
            </w:r>
          </w:p>
          <w:p w14:paraId="45F36FAE" w14:textId="77777777" w:rsidR="001E26E0" w:rsidRPr="006547A2" w:rsidRDefault="001E26E0" w:rsidP="001E26E0">
            <w:pPr>
              <w:rPr>
                <w:rFonts w:ascii="Verdana" w:hAnsi="Verdana"/>
              </w:rPr>
            </w:pPr>
          </w:p>
        </w:tc>
        <w:tc>
          <w:tcPr>
            <w:tcW w:w="4617" w:type="dxa"/>
            <w:shd w:val="clear" w:color="auto" w:fill="auto"/>
          </w:tcPr>
          <w:p w14:paraId="27104A8B" w14:textId="7939FF70" w:rsidR="001E26E0" w:rsidRPr="006547A2" w:rsidRDefault="001E26E0" w:rsidP="001E26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</w:tc>
      </w:tr>
      <w:tr w:rsidR="001E26E0" w:rsidRPr="006547A2" w14:paraId="64336404" w14:textId="77777777" w:rsidTr="000972F9">
        <w:tc>
          <w:tcPr>
            <w:tcW w:w="3060" w:type="dxa"/>
            <w:shd w:val="clear" w:color="auto" w:fill="auto"/>
          </w:tcPr>
          <w:p w14:paraId="5A1558C6" w14:textId="23803AD9" w:rsidR="001E26E0" w:rsidRPr="006547A2" w:rsidRDefault="001E26E0" w:rsidP="001E26E0">
            <w:pPr>
              <w:rPr>
                <w:rFonts w:ascii="Verdana" w:hAnsi="Verdana" w:cs="Arial"/>
              </w:rPr>
            </w:pPr>
            <w:r w:rsidRPr="00D33629">
              <w:rPr>
                <w:rFonts w:ascii="Verdana" w:hAnsi="Verdana"/>
                <w:b/>
                <w:bCs/>
                <w:color w:val="000000"/>
              </w:rPr>
              <w:t>Rybelsus</w:t>
            </w:r>
            <w:r w:rsidRPr="00D33629">
              <w:rPr>
                <w:rFonts w:ascii="Verdana" w:hAnsi="Verdana"/>
                <w:color w:val="000000"/>
              </w:rPr>
              <w:t xml:space="preserve"> (semaglutide) 1.5 mg, 4 mg, &amp; 9 mg tablets for type 2 diabetes</w:t>
            </w:r>
          </w:p>
        </w:tc>
        <w:tc>
          <w:tcPr>
            <w:tcW w:w="3240" w:type="dxa"/>
            <w:shd w:val="clear" w:color="auto" w:fill="auto"/>
          </w:tcPr>
          <w:p w14:paraId="054C3CB9" w14:textId="77777777" w:rsidR="001E26E0" w:rsidRPr="00071C0D" w:rsidRDefault="001E26E0" w:rsidP="001E26E0">
            <w:pPr>
              <w:rPr>
                <w:rFonts w:ascii="Verdana" w:hAnsi="Verdana"/>
              </w:rPr>
            </w:pPr>
            <w:r w:rsidRPr="00071C0D">
              <w:rPr>
                <w:rFonts w:ascii="Verdana" w:hAnsi="Verdana"/>
              </w:rPr>
              <w:t>Three new strengths of semaglutide launched (previous strengths 3 mg, 7 mg, and 14 mg tablets).</w:t>
            </w:r>
          </w:p>
          <w:p w14:paraId="7FFB803D" w14:textId="04D7572D" w:rsidR="001E26E0" w:rsidRPr="006547A2" w:rsidRDefault="001E26E0" w:rsidP="001E26E0">
            <w:pPr>
              <w:rPr>
                <w:rFonts w:ascii="Verdana" w:hAnsi="Verdana"/>
              </w:rPr>
            </w:pPr>
          </w:p>
        </w:tc>
        <w:tc>
          <w:tcPr>
            <w:tcW w:w="4617" w:type="dxa"/>
            <w:shd w:val="clear" w:color="auto" w:fill="auto"/>
          </w:tcPr>
          <w:p w14:paraId="12F8758B" w14:textId="77777777" w:rsidR="001E26E0" w:rsidRDefault="001E26E0" w:rsidP="001E26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F: Medicare, PPO, IFP</w:t>
            </w:r>
          </w:p>
          <w:p w14:paraId="6E739BF8" w14:textId="60C207EC" w:rsidR="001E26E0" w:rsidRPr="006547A2" w:rsidRDefault="001E26E0" w:rsidP="001E26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NP: Medicaid</w:t>
            </w:r>
          </w:p>
        </w:tc>
      </w:tr>
      <w:tr w:rsidR="001E26E0" w:rsidRPr="006547A2" w14:paraId="3C854D27" w14:textId="77777777" w:rsidTr="000972F9">
        <w:tc>
          <w:tcPr>
            <w:tcW w:w="3060" w:type="dxa"/>
            <w:shd w:val="clear" w:color="auto" w:fill="auto"/>
          </w:tcPr>
          <w:p w14:paraId="2290CF16" w14:textId="3A9E5FAD" w:rsidR="001E26E0" w:rsidRPr="006547A2" w:rsidRDefault="001E26E0" w:rsidP="001E26E0">
            <w:pPr>
              <w:rPr>
                <w:rFonts w:ascii="Verdana" w:hAnsi="Verdana" w:cs="Arial"/>
              </w:rPr>
            </w:pPr>
            <w:r w:rsidRPr="00D33629">
              <w:rPr>
                <w:rFonts w:ascii="Verdana" w:hAnsi="Verdana"/>
                <w:b/>
                <w:bCs/>
                <w:color w:val="000000"/>
              </w:rPr>
              <w:t>Omvoh</w:t>
            </w:r>
            <w:r w:rsidRPr="00D33629">
              <w:rPr>
                <w:rFonts w:ascii="Verdana" w:hAnsi="Verdana"/>
                <w:color w:val="000000"/>
              </w:rPr>
              <w:t xml:space="preserve"> (mirikizumab) 300 mg (100 mg/mL + 200 mg/2 mL) autoinjector and prefilled syringe for Crohn's disease</w:t>
            </w:r>
          </w:p>
        </w:tc>
        <w:tc>
          <w:tcPr>
            <w:tcW w:w="3240" w:type="dxa"/>
            <w:shd w:val="clear" w:color="auto" w:fill="auto"/>
          </w:tcPr>
          <w:p w14:paraId="0EEE61A9" w14:textId="77777777" w:rsidR="001E26E0" w:rsidRPr="00071C0D" w:rsidRDefault="001E26E0" w:rsidP="001E26E0">
            <w:pPr>
              <w:rPr>
                <w:rFonts w:ascii="Verdana" w:hAnsi="Verdana"/>
              </w:rPr>
            </w:pPr>
            <w:r w:rsidRPr="00071C0D">
              <w:rPr>
                <w:rFonts w:ascii="Verdana" w:hAnsi="Verdana"/>
              </w:rPr>
              <w:t>A new strength and package size presentation of mirikizumab has launched to accommodate the higher dosing required for the recent Crohn’s disease indication.</w:t>
            </w:r>
          </w:p>
          <w:p w14:paraId="28654C78" w14:textId="69BEAB4C" w:rsidR="001E26E0" w:rsidRPr="006547A2" w:rsidRDefault="001E26E0" w:rsidP="001E26E0">
            <w:pPr>
              <w:rPr>
                <w:rFonts w:ascii="Verdana" w:hAnsi="Verdana"/>
              </w:rPr>
            </w:pPr>
          </w:p>
        </w:tc>
        <w:tc>
          <w:tcPr>
            <w:tcW w:w="4617" w:type="dxa"/>
            <w:shd w:val="clear" w:color="auto" w:fill="auto"/>
          </w:tcPr>
          <w:p w14:paraId="358F7C87" w14:textId="77777777" w:rsidR="001E26E0" w:rsidRDefault="001E26E0" w:rsidP="001E26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F: Medicare, PPO, IFP</w:t>
            </w:r>
          </w:p>
          <w:p w14:paraId="51336A64" w14:textId="5CA908AE" w:rsidR="001E26E0" w:rsidRPr="006547A2" w:rsidRDefault="001E26E0" w:rsidP="001E26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NP: Medicaid</w:t>
            </w:r>
          </w:p>
        </w:tc>
      </w:tr>
      <w:tr w:rsidR="001E26E0" w:rsidRPr="006547A2" w14:paraId="170FBD92" w14:textId="77777777" w:rsidTr="000972F9">
        <w:tc>
          <w:tcPr>
            <w:tcW w:w="3060" w:type="dxa"/>
            <w:shd w:val="clear" w:color="auto" w:fill="auto"/>
          </w:tcPr>
          <w:p w14:paraId="60EDAE4D" w14:textId="7F1C9577" w:rsidR="001E26E0" w:rsidRPr="006547A2" w:rsidRDefault="001E26E0" w:rsidP="001E26E0">
            <w:pPr>
              <w:rPr>
                <w:rFonts w:ascii="Verdana" w:hAnsi="Verdana" w:cs="Arial"/>
              </w:rPr>
            </w:pPr>
            <w:r w:rsidRPr="00D33629">
              <w:rPr>
                <w:rFonts w:ascii="Verdana" w:hAnsi="Verdana"/>
                <w:b/>
                <w:bCs/>
                <w:color w:val="000000"/>
              </w:rPr>
              <w:t>Zepbound</w:t>
            </w:r>
            <w:r w:rsidRPr="00D33629">
              <w:rPr>
                <w:rFonts w:ascii="Verdana" w:hAnsi="Verdana"/>
                <w:color w:val="000000"/>
              </w:rPr>
              <w:t xml:space="preserve"> (tirzepatide) 7.5 mg/0.5 mL &amp; 10 mg/0.5 mL SQ vials for weight management</w:t>
            </w:r>
          </w:p>
        </w:tc>
        <w:tc>
          <w:tcPr>
            <w:tcW w:w="3240" w:type="dxa"/>
            <w:shd w:val="clear" w:color="auto" w:fill="auto"/>
          </w:tcPr>
          <w:p w14:paraId="1CE7C07C" w14:textId="77777777" w:rsidR="001E26E0" w:rsidRPr="00071C0D" w:rsidRDefault="001E26E0" w:rsidP="001E26E0">
            <w:pPr>
              <w:rPr>
                <w:rFonts w:ascii="Verdana" w:hAnsi="Verdana"/>
              </w:rPr>
            </w:pPr>
            <w:r w:rsidRPr="00071C0D">
              <w:rPr>
                <w:rFonts w:ascii="Verdana" w:hAnsi="Verdana"/>
              </w:rPr>
              <w:t>Higher strength vials of Zepbound have been released, adding 7.5 mg and 10 mg vials to the existing 2.5 and 5 mg vials.</w:t>
            </w:r>
          </w:p>
          <w:p w14:paraId="7C487EA1" w14:textId="77777777" w:rsidR="001E26E0" w:rsidRPr="006547A2" w:rsidRDefault="001E26E0" w:rsidP="001E26E0">
            <w:pPr>
              <w:rPr>
                <w:rFonts w:ascii="Verdana" w:hAnsi="Verdana"/>
              </w:rPr>
            </w:pPr>
          </w:p>
        </w:tc>
        <w:tc>
          <w:tcPr>
            <w:tcW w:w="4617" w:type="dxa"/>
            <w:shd w:val="clear" w:color="auto" w:fill="auto"/>
          </w:tcPr>
          <w:p w14:paraId="0F1B19C1" w14:textId="77777777" w:rsidR="001E26E0" w:rsidRDefault="001E26E0" w:rsidP="001E26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F: Medicare, PPO, IFP</w:t>
            </w:r>
          </w:p>
          <w:p w14:paraId="042EEB91" w14:textId="1DB7BC02" w:rsidR="001E26E0" w:rsidRPr="006547A2" w:rsidRDefault="001E26E0" w:rsidP="001E26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NP: Medicaid</w:t>
            </w:r>
            <w:r w:rsidRPr="00974FC7">
              <w:rPr>
                <w:rFonts w:ascii="Verdana" w:hAnsi="Verdana"/>
              </w:rPr>
              <w:t xml:space="preserve"> </w:t>
            </w:r>
          </w:p>
        </w:tc>
      </w:tr>
      <w:tr w:rsidR="001E26E0" w:rsidRPr="006547A2" w14:paraId="56112992" w14:textId="77777777" w:rsidTr="000972F9">
        <w:tc>
          <w:tcPr>
            <w:tcW w:w="3060" w:type="dxa"/>
            <w:shd w:val="clear" w:color="auto" w:fill="auto"/>
          </w:tcPr>
          <w:p w14:paraId="51E83DBD" w14:textId="74C83D9E" w:rsidR="001E26E0" w:rsidRPr="006547A2" w:rsidRDefault="001E26E0" w:rsidP="001E26E0">
            <w:pPr>
              <w:rPr>
                <w:rFonts w:ascii="Verdana" w:hAnsi="Verdana" w:cs="Arial"/>
              </w:rPr>
            </w:pPr>
            <w:r w:rsidRPr="00071C0D">
              <w:rPr>
                <w:rFonts w:ascii="Verdana" w:hAnsi="Verdana"/>
                <w:b/>
                <w:bCs/>
                <w:color w:val="000000"/>
              </w:rPr>
              <w:t>Xromi</w:t>
            </w:r>
            <w:r w:rsidRPr="00071C0D">
              <w:rPr>
                <w:rFonts w:ascii="Verdana" w:hAnsi="Verdana"/>
                <w:color w:val="000000"/>
              </w:rPr>
              <w:t xml:space="preserve"> (hydroxyurea) 100 mg/mL oral solution for sickle cell disease</w:t>
            </w:r>
          </w:p>
        </w:tc>
        <w:tc>
          <w:tcPr>
            <w:tcW w:w="3240" w:type="dxa"/>
            <w:shd w:val="clear" w:color="auto" w:fill="auto"/>
          </w:tcPr>
          <w:p w14:paraId="5EE68B2F" w14:textId="2A9BA359" w:rsidR="001E26E0" w:rsidRPr="006547A2" w:rsidRDefault="001E26E0" w:rsidP="001E26E0">
            <w:pPr>
              <w:rPr>
                <w:rFonts w:ascii="Verdana" w:hAnsi="Verdana"/>
              </w:rPr>
            </w:pPr>
            <w:r w:rsidRPr="00071C0D">
              <w:rPr>
                <w:rFonts w:ascii="Verdana" w:hAnsi="Verdana"/>
              </w:rPr>
              <w:t>A new liquid formulation of hydroxyurea has launched for patients unable to use solid dosage forms</w:t>
            </w:r>
          </w:p>
        </w:tc>
        <w:tc>
          <w:tcPr>
            <w:tcW w:w="4617" w:type="dxa"/>
            <w:shd w:val="clear" w:color="auto" w:fill="auto"/>
          </w:tcPr>
          <w:p w14:paraId="4D767FC9" w14:textId="704F59D3" w:rsidR="001E26E0" w:rsidRPr="006547A2" w:rsidRDefault="001E26E0" w:rsidP="001E26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</w:tc>
      </w:tr>
      <w:tr w:rsidR="001E26E0" w:rsidRPr="006547A2" w14:paraId="0CFB85E9" w14:textId="77777777" w:rsidTr="000972F9">
        <w:tc>
          <w:tcPr>
            <w:tcW w:w="3060" w:type="dxa"/>
            <w:shd w:val="clear" w:color="auto" w:fill="auto"/>
          </w:tcPr>
          <w:p w14:paraId="6B74A0ED" w14:textId="0D79AFF6" w:rsidR="001E26E0" w:rsidRPr="006547A2" w:rsidRDefault="001E26E0" w:rsidP="001E26E0">
            <w:pPr>
              <w:rPr>
                <w:rFonts w:ascii="Verdana" w:hAnsi="Verdana" w:cs="Arial"/>
              </w:rPr>
            </w:pPr>
            <w:r w:rsidRPr="00071C0D">
              <w:rPr>
                <w:rFonts w:ascii="Verdana" w:hAnsi="Verdana"/>
                <w:b/>
                <w:bCs/>
                <w:color w:val="000000"/>
              </w:rPr>
              <w:t>Metaxalone</w:t>
            </w:r>
            <w:r w:rsidRPr="00071C0D">
              <w:rPr>
                <w:rFonts w:ascii="Verdana" w:hAnsi="Verdana"/>
                <w:color w:val="000000"/>
              </w:rPr>
              <w:t xml:space="preserve"> 640 mg tablet for musculoskeletal conditions</w:t>
            </w:r>
          </w:p>
        </w:tc>
        <w:tc>
          <w:tcPr>
            <w:tcW w:w="3240" w:type="dxa"/>
            <w:shd w:val="clear" w:color="auto" w:fill="auto"/>
          </w:tcPr>
          <w:p w14:paraId="744E8A99" w14:textId="5B57384B" w:rsidR="001E26E0" w:rsidRPr="006547A2" w:rsidRDefault="001E26E0" w:rsidP="001E26E0">
            <w:pPr>
              <w:rPr>
                <w:rFonts w:ascii="Verdana" w:hAnsi="Verdana"/>
              </w:rPr>
            </w:pPr>
            <w:r w:rsidRPr="00071C0D">
              <w:rPr>
                <w:rFonts w:ascii="Verdana" w:hAnsi="Verdana"/>
              </w:rPr>
              <w:t>Metaxalone 640 mg is a unique strength, joining the generic 400 mg and 800 mg strength tablets. WAC = $41.75/tab</w:t>
            </w:r>
          </w:p>
        </w:tc>
        <w:tc>
          <w:tcPr>
            <w:tcW w:w="4617" w:type="dxa"/>
            <w:shd w:val="clear" w:color="auto" w:fill="auto"/>
          </w:tcPr>
          <w:p w14:paraId="0427FC02" w14:textId="742CCE95" w:rsidR="001E26E0" w:rsidRPr="006547A2" w:rsidRDefault="001E26E0" w:rsidP="001E26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</w:tc>
      </w:tr>
      <w:tr w:rsidR="001E26E0" w:rsidRPr="006547A2" w14:paraId="3682EC5A" w14:textId="77777777" w:rsidTr="000972F9">
        <w:tc>
          <w:tcPr>
            <w:tcW w:w="3060" w:type="dxa"/>
            <w:shd w:val="clear" w:color="auto" w:fill="auto"/>
          </w:tcPr>
          <w:p w14:paraId="284D036D" w14:textId="2C88A69B" w:rsidR="001E26E0" w:rsidRPr="006547A2" w:rsidRDefault="001E26E0" w:rsidP="001E26E0">
            <w:pPr>
              <w:rPr>
                <w:rFonts w:ascii="Verdana" w:hAnsi="Verdana" w:cs="Arial"/>
              </w:rPr>
            </w:pPr>
            <w:r w:rsidRPr="00071C0D">
              <w:rPr>
                <w:rFonts w:ascii="Verdana" w:hAnsi="Verdana"/>
                <w:b/>
                <w:bCs/>
                <w:color w:val="000000"/>
              </w:rPr>
              <w:t>Onapgo</w:t>
            </w:r>
            <w:r w:rsidRPr="00071C0D">
              <w:rPr>
                <w:rFonts w:ascii="Verdana" w:hAnsi="Verdana"/>
                <w:color w:val="000000"/>
              </w:rPr>
              <w:t xml:space="preserve"> (apomorphine) 98 mg/20 mL SQ solution for Parkinson’s disease</w:t>
            </w:r>
          </w:p>
        </w:tc>
        <w:tc>
          <w:tcPr>
            <w:tcW w:w="3240" w:type="dxa"/>
            <w:shd w:val="clear" w:color="auto" w:fill="auto"/>
          </w:tcPr>
          <w:p w14:paraId="0493EDC7" w14:textId="77777777" w:rsidR="001E26E0" w:rsidRPr="00071C0D" w:rsidRDefault="001E26E0" w:rsidP="001E26E0">
            <w:pPr>
              <w:rPr>
                <w:rFonts w:ascii="Verdana" w:hAnsi="Verdana"/>
              </w:rPr>
            </w:pPr>
            <w:r w:rsidRPr="00071C0D">
              <w:rPr>
                <w:rFonts w:ascii="Verdana" w:hAnsi="Verdana"/>
              </w:rPr>
              <w:t>Onapgo is given by subcutaneous infusion via Onapgo pump. Alternative therapies include injection and inhalation powder</w:t>
            </w:r>
          </w:p>
          <w:p w14:paraId="06714796" w14:textId="77777777" w:rsidR="001E26E0" w:rsidRPr="006547A2" w:rsidRDefault="001E26E0" w:rsidP="001E26E0">
            <w:pPr>
              <w:tabs>
                <w:tab w:val="left" w:pos="930"/>
              </w:tabs>
              <w:rPr>
                <w:rFonts w:ascii="Verdana" w:hAnsi="Verdana"/>
              </w:rPr>
            </w:pPr>
          </w:p>
        </w:tc>
        <w:tc>
          <w:tcPr>
            <w:tcW w:w="4617" w:type="dxa"/>
            <w:shd w:val="clear" w:color="auto" w:fill="auto"/>
          </w:tcPr>
          <w:p w14:paraId="5AFCFD01" w14:textId="4053CF92" w:rsidR="001E26E0" w:rsidRPr="006547A2" w:rsidRDefault="001E26E0" w:rsidP="001E26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</w:tc>
      </w:tr>
      <w:tr w:rsidR="001E26E0" w:rsidRPr="006547A2" w14:paraId="03EBF3A7" w14:textId="77777777" w:rsidTr="000972F9">
        <w:tc>
          <w:tcPr>
            <w:tcW w:w="3060" w:type="dxa"/>
            <w:shd w:val="clear" w:color="auto" w:fill="auto"/>
          </w:tcPr>
          <w:p w14:paraId="57B1FC21" w14:textId="4BF15CD1" w:rsidR="001E26E0" w:rsidRPr="006547A2" w:rsidRDefault="001E26E0" w:rsidP="001E26E0">
            <w:pPr>
              <w:rPr>
                <w:rFonts w:ascii="Verdana" w:hAnsi="Verdana" w:cs="Arial"/>
              </w:rPr>
            </w:pPr>
            <w:r w:rsidRPr="00071C0D">
              <w:rPr>
                <w:rFonts w:ascii="Verdana" w:hAnsi="Verdana"/>
                <w:b/>
                <w:bCs/>
                <w:color w:val="000000"/>
              </w:rPr>
              <w:lastRenderedPageBreak/>
              <w:t xml:space="preserve">Zunveyl </w:t>
            </w:r>
            <w:r w:rsidRPr="00071C0D">
              <w:rPr>
                <w:rFonts w:ascii="Verdana" w:hAnsi="Verdana"/>
                <w:color w:val="000000"/>
              </w:rPr>
              <w:t>(benzgalantamine) 5 mg, 10 mg &amp; 15 mg tablets for Alzheimer’s disease</w:t>
            </w:r>
          </w:p>
        </w:tc>
        <w:tc>
          <w:tcPr>
            <w:tcW w:w="3240" w:type="dxa"/>
            <w:shd w:val="clear" w:color="auto" w:fill="auto"/>
          </w:tcPr>
          <w:p w14:paraId="62226A1C" w14:textId="2E97E74A" w:rsidR="001E26E0" w:rsidRPr="006547A2" w:rsidRDefault="001E26E0" w:rsidP="001E26E0">
            <w:pPr>
              <w:rPr>
                <w:rFonts w:ascii="Verdana" w:hAnsi="Verdana"/>
              </w:rPr>
            </w:pPr>
            <w:r w:rsidRPr="00071C0D">
              <w:rPr>
                <w:rFonts w:ascii="Verdana" w:hAnsi="Verdana"/>
              </w:rPr>
              <w:t>Benzgalantamine was designed to reduce the gastrointestinal side effects associated with use of the generically available galantamine</w:t>
            </w:r>
          </w:p>
        </w:tc>
        <w:tc>
          <w:tcPr>
            <w:tcW w:w="4617" w:type="dxa"/>
            <w:shd w:val="clear" w:color="auto" w:fill="auto"/>
          </w:tcPr>
          <w:p w14:paraId="5D4D9221" w14:textId="34D14738" w:rsidR="001E26E0" w:rsidRPr="006547A2" w:rsidRDefault="001E26E0" w:rsidP="001E26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</w:tc>
      </w:tr>
      <w:tr w:rsidR="001E26E0" w:rsidRPr="006547A2" w14:paraId="0D00C74C" w14:textId="77777777" w:rsidTr="000972F9">
        <w:tc>
          <w:tcPr>
            <w:tcW w:w="3060" w:type="dxa"/>
            <w:shd w:val="clear" w:color="auto" w:fill="auto"/>
          </w:tcPr>
          <w:p w14:paraId="0DEF0438" w14:textId="1DDFE2A3" w:rsidR="001E26E0" w:rsidRPr="006547A2" w:rsidRDefault="001E26E0" w:rsidP="001E26E0">
            <w:pPr>
              <w:rPr>
                <w:rFonts w:ascii="Verdana" w:hAnsi="Verdana" w:cs="Arial"/>
              </w:rPr>
            </w:pPr>
            <w:r w:rsidRPr="00071C0D">
              <w:rPr>
                <w:rFonts w:ascii="Verdana" w:hAnsi="Verdana"/>
                <w:b/>
                <w:bCs/>
                <w:color w:val="000000"/>
              </w:rPr>
              <w:t xml:space="preserve">Raldesy </w:t>
            </w:r>
            <w:r w:rsidRPr="00071C0D">
              <w:rPr>
                <w:rFonts w:ascii="Verdana" w:hAnsi="Verdana"/>
                <w:color w:val="000000"/>
              </w:rPr>
              <w:t>(trazodone) 10 mg/mL oral solution for major depressive disorder in adults</w:t>
            </w:r>
          </w:p>
        </w:tc>
        <w:tc>
          <w:tcPr>
            <w:tcW w:w="3240" w:type="dxa"/>
            <w:shd w:val="clear" w:color="auto" w:fill="auto"/>
          </w:tcPr>
          <w:p w14:paraId="7736B970" w14:textId="27A22E6D" w:rsidR="001E26E0" w:rsidRPr="006547A2" w:rsidRDefault="001E26E0" w:rsidP="001E26E0">
            <w:pPr>
              <w:rPr>
                <w:rFonts w:ascii="Verdana" w:hAnsi="Verdana"/>
              </w:rPr>
            </w:pPr>
            <w:r w:rsidRPr="00071C0D">
              <w:rPr>
                <w:rFonts w:ascii="Verdana" w:hAnsi="Verdana"/>
              </w:rPr>
              <w:t>Raldesy is a new oral solution formulation of trazodone, previously only available in tablet form, indicated for treatment of major depressive disorder in adults.</w:t>
            </w:r>
          </w:p>
        </w:tc>
        <w:tc>
          <w:tcPr>
            <w:tcW w:w="4617" w:type="dxa"/>
            <w:shd w:val="clear" w:color="auto" w:fill="auto"/>
          </w:tcPr>
          <w:p w14:paraId="4570F694" w14:textId="77777777" w:rsidR="001E26E0" w:rsidRDefault="001E26E0" w:rsidP="001E26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F: Medicare, PPO</w:t>
            </w:r>
          </w:p>
          <w:p w14:paraId="68CC9F1B" w14:textId="19B06575" w:rsidR="001E26E0" w:rsidRPr="006547A2" w:rsidRDefault="001E26E0" w:rsidP="001E26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Medicaid, IFP</w:t>
            </w:r>
          </w:p>
        </w:tc>
      </w:tr>
      <w:tr w:rsidR="001E26E0" w:rsidRPr="006547A2" w14:paraId="3193B733" w14:textId="77777777" w:rsidTr="000972F9">
        <w:tc>
          <w:tcPr>
            <w:tcW w:w="3060" w:type="dxa"/>
            <w:shd w:val="clear" w:color="auto" w:fill="auto"/>
          </w:tcPr>
          <w:p w14:paraId="71EA6514" w14:textId="42C5607C" w:rsidR="001E26E0" w:rsidRPr="006547A2" w:rsidRDefault="001E26E0" w:rsidP="001E26E0">
            <w:pPr>
              <w:rPr>
                <w:rFonts w:ascii="Verdana" w:hAnsi="Verdana" w:cs="Arial"/>
              </w:rPr>
            </w:pPr>
            <w:r w:rsidRPr="00071C0D">
              <w:rPr>
                <w:rFonts w:ascii="Verdana" w:hAnsi="Verdana"/>
                <w:b/>
                <w:bCs/>
                <w:color w:val="000000"/>
              </w:rPr>
              <w:t xml:space="preserve">Cortrophin </w:t>
            </w:r>
            <w:r w:rsidRPr="00071C0D">
              <w:rPr>
                <w:rFonts w:ascii="Verdana" w:hAnsi="Verdana"/>
                <w:color w:val="000000"/>
              </w:rPr>
              <w:t>(corticotropin) 40 units/0.5 mL &amp; 80 units/mL SQ prefilled syringes for various indications</w:t>
            </w:r>
          </w:p>
        </w:tc>
        <w:tc>
          <w:tcPr>
            <w:tcW w:w="3240" w:type="dxa"/>
            <w:shd w:val="clear" w:color="auto" w:fill="auto"/>
          </w:tcPr>
          <w:p w14:paraId="28B059ED" w14:textId="05EEAE84" w:rsidR="001E26E0" w:rsidRPr="006547A2" w:rsidRDefault="001E26E0" w:rsidP="001E26E0">
            <w:pPr>
              <w:rPr>
                <w:rFonts w:ascii="Verdana" w:hAnsi="Verdana"/>
              </w:rPr>
            </w:pPr>
            <w:r w:rsidRPr="00071C0D">
              <w:rPr>
                <w:rFonts w:ascii="Verdana" w:hAnsi="Verdana"/>
              </w:rPr>
              <w:t>Similar to a change for Acthar that occurred last year, Cortrophin is now available as a single-dose prefilled syringe providing 40 or 80 units per injection.</w:t>
            </w:r>
          </w:p>
        </w:tc>
        <w:tc>
          <w:tcPr>
            <w:tcW w:w="4617" w:type="dxa"/>
            <w:shd w:val="clear" w:color="auto" w:fill="auto"/>
          </w:tcPr>
          <w:p w14:paraId="776D8D20" w14:textId="77777777" w:rsidR="001E26E0" w:rsidRPr="00974FC7" w:rsidRDefault="001E26E0" w:rsidP="001E26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  <w:p w14:paraId="10769DE3" w14:textId="3C79FB0F" w:rsidR="001E26E0" w:rsidRPr="006547A2" w:rsidRDefault="001E26E0" w:rsidP="001E26E0">
            <w:pPr>
              <w:rPr>
                <w:rFonts w:ascii="Verdana" w:hAnsi="Verdana"/>
              </w:rPr>
            </w:pPr>
          </w:p>
        </w:tc>
      </w:tr>
      <w:tr w:rsidR="001E26E0" w:rsidRPr="006547A2" w14:paraId="5A67E7EA" w14:textId="77777777" w:rsidTr="000972F9">
        <w:tc>
          <w:tcPr>
            <w:tcW w:w="3060" w:type="dxa"/>
            <w:shd w:val="clear" w:color="auto" w:fill="auto"/>
          </w:tcPr>
          <w:p w14:paraId="01563150" w14:textId="540DCCDB" w:rsidR="001E26E0" w:rsidRPr="006547A2" w:rsidRDefault="001E26E0" w:rsidP="001E26E0">
            <w:pPr>
              <w:rPr>
                <w:rFonts w:ascii="Verdana" w:hAnsi="Verdana" w:cs="Arial"/>
              </w:rPr>
            </w:pPr>
            <w:r w:rsidRPr="00071C0D">
              <w:rPr>
                <w:rFonts w:ascii="Verdana" w:hAnsi="Verdana"/>
                <w:b/>
                <w:bCs/>
                <w:color w:val="000000"/>
              </w:rPr>
              <w:t>Inzirqo</w:t>
            </w:r>
            <w:r w:rsidRPr="00071C0D">
              <w:rPr>
                <w:rFonts w:ascii="Verdana" w:hAnsi="Verdana"/>
                <w:color w:val="000000"/>
              </w:rPr>
              <w:t xml:space="preserve"> (hydrochlorothiazide) 10 mg/mL oral suspension for hypertension &amp; edema associated with heart failure, renal, or hepatic disease</w:t>
            </w:r>
          </w:p>
        </w:tc>
        <w:tc>
          <w:tcPr>
            <w:tcW w:w="3240" w:type="dxa"/>
            <w:shd w:val="clear" w:color="auto" w:fill="auto"/>
          </w:tcPr>
          <w:p w14:paraId="26667022" w14:textId="77777777" w:rsidR="001E26E0" w:rsidRPr="00071C0D" w:rsidRDefault="001E26E0" w:rsidP="001E26E0">
            <w:pPr>
              <w:rPr>
                <w:rFonts w:ascii="Verdana" w:hAnsi="Verdana"/>
              </w:rPr>
            </w:pPr>
            <w:r w:rsidRPr="00071C0D">
              <w:rPr>
                <w:rFonts w:ascii="Verdana" w:hAnsi="Verdana"/>
              </w:rPr>
              <w:t>Approved via the 505(b)(2) pathway, Inzirqo is an oral suspension formulation of hydrochlorothiazide</w:t>
            </w:r>
          </w:p>
          <w:p w14:paraId="5D886C7B" w14:textId="77777777" w:rsidR="001E26E0" w:rsidRPr="006547A2" w:rsidRDefault="001E26E0" w:rsidP="001E26E0">
            <w:pPr>
              <w:rPr>
                <w:rFonts w:ascii="Verdana" w:hAnsi="Verdana"/>
              </w:rPr>
            </w:pPr>
          </w:p>
        </w:tc>
        <w:tc>
          <w:tcPr>
            <w:tcW w:w="4617" w:type="dxa"/>
            <w:shd w:val="clear" w:color="auto" w:fill="auto"/>
          </w:tcPr>
          <w:p w14:paraId="15857CC8" w14:textId="77777777" w:rsidR="001E26E0" w:rsidRPr="00974FC7" w:rsidRDefault="001E26E0" w:rsidP="001E26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  <w:p w14:paraId="55B6A1BE" w14:textId="7A56C7F6" w:rsidR="001E26E0" w:rsidRPr="006547A2" w:rsidRDefault="001E26E0" w:rsidP="001E26E0">
            <w:pPr>
              <w:rPr>
                <w:rFonts w:ascii="Verdana" w:hAnsi="Verdana"/>
              </w:rPr>
            </w:pPr>
          </w:p>
        </w:tc>
      </w:tr>
      <w:tr w:rsidR="001E26E0" w:rsidRPr="006547A2" w14:paraId="2584FA93" w14:textId="77777777" w:rsidTr="000972F9">
        <w:tc>
          <w:tcPr>
            <w:tcW w:w="3060" w:type="dxa"/>
            <w:shd w:val="clear" w:color="auto" w:fill="auto"/>
          </w:tcPr>
          <w:p w14:paraId="5F38D971" w14:textId="2153828D" w:rsidR="001E26E0" w:rsidRPr="006547A2" w:rsidRDefault="001E26E0" w:rsidP="001E26E0">
            <w:pPr>
              <w:rPr>
                <w:rFonts w:ascii="Verdana" w:hAnsi="Verdana" w:cs="Arial"/>
              </w:rPr>
            </w:pPr>
            <w:r w:rsidRPr="00071C0D">
              <w:rPr>
                <w:rFonts w:ascii="Verdana" w:hAnsi="Verdana"/>
                <w:b/>
                <w:bCs/>
                <w:color w:val="000000"/>
              </w:rPr>
              <w:t xml:space="preserve">Xpovio </w:t>
            </w:r>
            <w:r w:rsidRPr="00071C0D">
              <w:rPr>
                <w:rFonts w:ascii="Verdana" w:hAnsi="Verdana"/>
                <w:color w:val="000000"/>
              </w:rPr>
              <w:t>(selinexor) 10 mg tablet therapy pack (40 mg once weekly) for multiple myeloma &amp; diffuse large B-cell lymphoma</w:t>
            </w:r>
          </w:p>
        </w:tc>
        <w:tc>
          <w:tcPr>
            <w:tcW w:w="3240" w:type="dxa"/>
            <w:shd w:val="clear" w:color="auto" w:fill="auto"/>
          </w:tcPr>
          <w:p w14:paraId="4E93D6BF" w14:textId="77777777" w:rsidR="001E26E0" w:rsidRPr="00071C0D" w:rsidRDefault="001E26E0" w:rsidP="001E26E0">
            <w:pPr>
              <w:rPr>
                <w:rFonts w:ascii="Verdana" w:hAnsi="Verdana"/>
              </w:rPr>
            </w:pPr>
            <w:r w:rsidRPr="00071C0D">
              <w:rPr>
                <w:rFonts w:ascii="Verdana" w:hAnsi="Verdana"/>
              </w:rPr>
              <w:t>A new 28-day dosage pack for selinexor (4 x 10 mg tablets), to accommodate a 40 mg dose taken once weekly, has launched.</w:t>
            </w:r>
          </w:p>
          <w:p w14:paraId="22FAB14C" w14:textId="77D6C057" w:rsidR="001E26E0" w:rsidRPr="006547A2" w:rsidRDefault="001E26E0" w:rsidP="001E26E0">
            <w:pPr>
              <w:rPr>
                <w:rFonts w:ascii="Verdana" w:hAnsi="Verdana"/>
              </w:rPr>
            </w:pPr>
          </w:p>
        </w:tc>
        <w:tc>
          <w:tcPr>
            <w:tcW w:w="4617" w:type="dxa"/>
            <w:shd w:val="clear" w:color="auto" w:fill="auto"/>
          </w:tcPr>
          <w:p w14:paraId="3D029CC3" w14:textId="77777777" w:rsidR="001E26E0" w:rsidRPr="00974FC7" w:rsidRDefault="001E26E0" w:rsidP="001E26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F: all lines of business</w:t>
            </w:r>
          </w:p>
          <w:p w14:paraId="06708402" w14:textId="049DD367" w:rsidR="001E26E0" w:rsidRPr="006547A2" w:rsidRDefault="001E26E0" w:rsidP="001E26E0">
            <w:pPr>
              <w:rPr>
                <w:rFonts w:ascii="Verdana" w:hAnsi="Verdana"/>
              </w:rPr>
            </w:pPr>
          </w:p>
        </w:tc>
      </w:tr>
      <w:tr w:rsidR="00916311" w:rsidRPr="006547A2" w14:paraId="0FB98EF0" w14:textId="77777777" w:rsidTr="000972F9">
        <w:tc>
          <w:tcPr>
            <w:tcW w:w="3060" w:type="dxa"/>
            <w:shd w:val="clear" w:color="auto" w:fill="auto"/>
          </w:tcPr>
          <w:p w14:paraId="47AFD668" w14:textId="0CA67775" w:rsidR="00916311" w:rsidRPr="006547A2" w:rsidRDefault="00916311" w:rsidP="00916311">
            <w:pPr>
              <w:rPr>
                <w:rFonts w:ascii="Verdana" w:hAnsi="Verdana" w:cs="Arial"/>
              </w:rPr>
            </w:pPr>
            <w:r w:rsidRPr="00071C0D">
              <w:rPr>
                <w:rFonts w:ascii="Verdana" w:hAnsi="Verdana"/>
                <w:b/>
                <w:bCs/>
                <w:color w:val="000000"/>
              </w:rPr>
              <w:t>Sevenfact</w:t>
            </w:r>
            <w:r w:rsidRPr="00071C0D">
              <w:rPr>
                <w:rFonts w:ascii="Verdana" w:hAnsi="Verdana"/>
                <w:color w:val="000000"/>
              </w:rPr>
              <w:t xml:space="preserve"> (recombinant coagulation factor VIIa-jncw) 2 mg IV vial for hemophilia A or B with inhibitors</w:t>
            </w:r>
          </w:p>
        </w:tc>
        <w:tc>
          <w:tcPr>
            <w:tcW w:w="3240" w:type="dxa"/>
            <w:shd w:val="clear" w:color="auto" w:fill="auto"/>
          </w:tcPr>
          <w:p w14:paraId="12CE46B5" w14:textId="77777777" w:rsidR="00916311" w:rsidRPr="00071C0D" w:rsidRDefault="00916311" w:rsidP="00916311">
            <w:pPr>
              <w:rPr>
                <w:rFonts w:ascii="Verdana" w:hAnsi="Verdana"/>
              </w:rPr>
            </w:pPr>
            <w:r w:rsidRPr="00071C0D">
              <w:rPr>
                <w:rFonts w:ascii="Verdana" w:hAnsi="Verdana"/>
              </w:rPr>
              <w:t>A new 2 mg strength vial of recombinant coagulation factor VIIa recently launched, previously available as 1 mg and 5 mg vials.</w:t>
            </w:r>
          </w:p>
          <w:p w14:paraId="740DDB41" w14:textId="77777777" w:rsidR="00916311" w:rsidRPr="006547A2" w:rsidRDefault="00916311" w:rsidP="00916311">
            <w:pPr>
              <w:rPr>
                <w:rFonts w:ascii="Verdana" w:hAnsi="Verdana"/>
              </w:rPr>
            </w:pPr>
          </w:p>
        </w:tc>
        <w:tc>
          <w:tcPr>
            <w:tcW w:w="4617" w:type="dxa"/>
            <w:shd w:val="clear" w:color="auto" w:fill="auto"/>
          </w:tcPr>
          <w:p w14:paraId="1B47827A" w14:textId="77777777" w:rsidR="00916311" w:rsidRDefault="00916311" w:rsidP="0091631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F: Medicare, PPO</w:t>
            </w:r>
          </w:p>
          <w:p w14:paraId="2165520C" w14:textId="77777777" w:rsidR="00916311" w:rsidRDefault="00916311" w:rsidP="0091631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IFP</w:t>
            </w:r>
          </w:p>
          <w:p w14:paraId="52A143F9" w14:textId="47095406" w:rsidR="00916311" w:rsidRPr="006547A2" w:rsidRDefault="00916311" w:rsidP="0091631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PDL: Medicaid</w:t>
            </w:r>
          </w:p>
        </w:tc>
      </w:tr>
      <w:tr w:rsidR="00916311" w:rsidRPr="006547A2" w14:paraId="02CB7B20" w14:textId="77777777" w:rsidTr="000972F9">
        <w:tc>
          <w:tcPr>
            <w:tcW w:w="3060" w:type="dxa"/>
            <w:shd w:val="clear" w:color="auto" w:fill="auto"/>
          </w:tcPr>
          <w:p w14:paraId="0BB526FE" w14:textId="0F3E5C97" w:rsidR="00916311" w:rsidRPr="006547A2" w:rsidRDefault="00916311" w:rsidP="00916311">
            <w:pPr>
              <w:rPr>
                <w:rFonts w:ascii="Verdana" w:hAnsi="Verdana" w:cs="Arial"/>
              </w:rPr>
            </w:pPr>
            <w:r w:rsidRPr="00071C0D">
              <w:rPr>
                <w:rFonts w:ascii="Verdana" w:hAnsi="Verdana"/>
                <w:b/>
                <w:bCs/>
                <w:color w:val="000000"/>
              </w:rPr>
              <w:t>Ivermectin</w:t>
            </w:r>
            <w:r w:rsidRPr="00071C0D">
              <w:rPr>
                <w:rFonts w:ascii="Verdana" w:hAnsi="Verdana"/>
                <w:color w:val="000000"/>
              </w:rPr>
              <w:t xml:space="preserve"> 6 mg tablet for parasitic infections</w:t>
            </w:r>
          </w:p>
        </w:tc>
        <w:tc>
          <w:tcPr>
            <w:tcW w:w="3240" w:type="dxa"/>
            <w:shd w:val="clear" w:color="auto" w:fill="auto"/>
          </w:tcPr>
          <w:p w14:paraId="4D6DC914" w14:textId="4DD9EAB0" w:rsidR="00916311" w:rsidRPr="006547A2" w:rsidRDefault="00916311" w:rsidP="00916311">
            <w:pPr>
              <w:tabs>
                <w:tab w:val="left" w:pos="1125"/>
              </w:tabs>
              <w:rPr>
                <w:rFonts w:ascii="Verdana" w:hAnsi="Verdana"/>
              </w:rPr>
            </w:pPr>
            <w:r w:rsidRPr="00071C0D">
              <w:rPr>
                <w:rFonts w:ascii="Verdana" w:hAnsi="Verdana"/>
              </w:rPr>
              <w:t>A new 6 mg ivermectin tablet was relaunched as it was discontinued in 2009. The relaunched 6 mg tablet has a unit WAC of $10.35.</w:t>
            </w:r>
          </w:p>
        </w:tc>
        <w:tc>
          <w:tcPr>
            <w:tcW w:w="4617" w:type="dxa"/>
            <w:shd w:val="clear" w:color="auto" w:fill="auto"/>
          </w:tcPr>
          <w:p w14:paraId="5D86432A" w14:textId="3BB83EFA" w:rsidR="00916311" w:rsidRPr="006547A2" w:rsidRDefault="00916311" w:rsidP="0091631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</w:tc>
      </w:tr>
      <w:tr w:rsidR="00916311" w:rsidRPr="006547A2" w14:paraId="261DCACD" w14:textId="77777777" w:rsidTr="000972F9">
        <w:tc>
          <w:tcPr>
            <w:tcW w:w="3060" w:type="dxa"/>
            <w:shd w:val="clear" w:color="auto" w:fill="auto"/>
          </w:tcPr>
          <w:p w14:paraId="533F3E6F" w14:textId="10E6AF4A" w:rsidR="00916311" w:rsidRPr="006547A2" w:rsidRDefault="00916311" w:rsidP="00916311">
            <w:pPr>
              <w:rPr>
                <w:rFonts w:ascii="Verdana" w:hAnsi="Verdana" w:cs="Arial"/>
              </w:rPr>
            </w:pPr>
            <w:r w:rsidRPr="00071C0D">
              <w:rPr>
                <w:rFonts w:ascii="Verdana" w:hAnsi="Verdana"/>
                <w:b/>
                <w:bCs/>
                <w:color w:val="000000"/>
              </w:rPr>
              <w:lastRenderedPageBreak/>
              <w:t>Combogesic</w:t>
            </w:r>
            <w:r w:rsidRPr="00071C0D">
              <w:rPr>
                <w:rFonts w:ascii="Verdana" w:hAnsi="Verdana"/>
                <w:color w:val="000000"/>
              </w:rPr>
              <w:t xml:space="preserve"> (ibuprofen-acetaminophen) 97.5-325 mg tablet for pain</w:t>
            </w:r>
          </w:p>
        </w:tc>
        <w:tc>
          <w:tcPr>
            <w:tcW w:w="3240" w:type="dxa"/>
            <w:shd w:val="clear" w:color="auto" w:fill="auto"/>
          </w:tcPr>
          <w:p w14:paraId="26D53475" w14:textId="3B49AAAA" w:rsidR="00916311" w:rsidRPr="006547A2" w:rsidRDefault="00916311" w:rsidP="00916311">
            <w:pPr>
              <w:rPr>
                <w:rFonts w:ascii="Verdana" w:hAnsi="Verdana"/>
              </w:rPr>
            </w:pPr>
            <w:r w:rsidRPr="00071C0D">
              <w:rPr>
                <w:rFonts w:ascii="Verdana" w:hAnsi="Verdana"/>
              </w:rPr>
              <w:t>A new FDA-approved, prescription only, 97.5 mg/325 mg strength of ibuprofen with acetaminophen recently launched.</w:t>
            </w:r>
          </w:p>
        </w:tc>
        <w:tc>
          <w:tcPr>
            <w:tcW w:w="4617" w:type="dxa"/>
            <w:shd w:val="clear" w:color="auto" w:fill="auto"/>
          </w:tcPr>
          <w:p w14:paraId="6AF46032" w14:textId="77777777" w:rsidR="00916311" w:rsidRPr="00974FC7" w:rsidRDefault="00916311" w:rsidP="0091631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  <w:p w14:paraId="5C4A369B" w14:textId="72854422" w:rsidR="00916311" w:rsidRPr="006547A2" w:rsidRDefault="00916311" w:rsidP="00916311">
            <w:pPr>
              <w:rPr>
                <w:rFonts w:ascii="Verdana" w:hAnsi="Verdana"/>
              </w:rPr>
            </w:pPr>
          </w:p>
        </w:tc>
      </w:tr>
      <w:tr w:rsidR="00916311" w:rsidRPr="006547A2" w14:paraId="08E140C7" w14:textId="77777777" w:rsidTr="000972F9">
        <w:tc>
          <w:tcPr>
            <w:tcW w:w="3060" w:type="dxa"/>
            <w:shd w:val="clear" w:color="auto" w:fill="auto"/>
          </w:tcPr>
          <w:p w14:paraId="108390BE" w14:textId="3C49454E" w:rsidR="00916311" w:rsidRPr="006547A2" w:rsidRDefault="00916311" w:rsidP="00916311">
            <w:pPr>
              <w:rPr>
                <w:rFonts w:ascii="Verdana" w:hAnsi="Verdana" w:cs="Arial"/>
              </w:rPr>
            </w:pPr>
            <w:r w:rsidRPr="00071C0D">
              <w:rPr>
                <w:rFonts w:ascii="Verdana" w:hAnsi="Verdana"/>
                <w:b/>
                <w:bCs/>
                <w:color w:val="000000"/>
              </w:rPr>
              <w:t xml:space="preserve">Revuforj </w:t>
            </w:r>
            <w:r w:rsidRPr="00071C0D">
              <w:rPr>
                <w:rFonts w:ascii="Verdana" w:hAnsi="Verdana"/>
                <w:color w:val="000000"/>
              </w:rPr>
              <w:t>(revumenib) 25 mg tablet for relapsed or refractory leukemia with a lysine methyltransferase 2A gene translocation</w:t>
            </w:r>
          </w:p>
        </w:tc>
        <w:tc>
          <w:tcPr>
            <w:tcW w:w="3240" w:type="dxa"/>
            <w:shd w:val="clear" w:color="auto" w:fill="auto"/>
          </w:tcPr>
          <w:p w14:paraId="7F4846A5" w14:textId="77777777" w:rsidR="00916311" w:rsidRPr="00071C0D" w:rsidRDefault="00916311" w:rsidP="00916311">
            <w:pPr>
              <w:rPr>
                <w:rFonts w:ascii="Verdana" w:hAnsi="Verdana"/>
              </w:rPr>
            </w:pPr>
            <w:r w:rsidRPr="00071C0D">
              <w:rPr>
                <w:rFonts w:ascii="Verdana" w:hAnsi="Verdana"/>
              </w:rPr>
              <w:t>New 25mg strength launched alongside 110mg and 160mg</w:t>
            </w:r>
          </w:p>
          <w:p w14:paraId="2254790E" w14:textId="2B0CAA79" w:rsidR="00916311" w:rsidRPr="006547A2" w:rsidRDefault="00916311" w:rsidP="00916311">
            <w:pPr>
              <w:rPr>
                <w:rFonts w:ascii="Verdana" w:hAnsi="Verdana"/>
              </w:rPr>
            </w:pPr>
          </w:p>
        </w:tc>
        <w:tc>
          <w:tcPr>
            <w:tcW w:w="4617" w:type="dxa"/>
            <w:shd w:val="clear" w:color="auto" w:fill="auto"/>
          </w:tcPr>
          <w:p w14:paraId="4BA58E99" w14:textId="77777777" w:rsidR="00916311" w:rsidRDefault="00916311" w:rsidP="0091631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F: Medicare, PPO</w:t>
            </w:r>
          </w:p>
          <w:p w14:paraId="3CEDC667" w14:textId="295C67C3" w:rsidR="00916311" w:rsidRPr="006547A2" w:rsidRDefault="00916311" w:rsidP="0091631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IFP, Medicaid</w:t>
            </w:r>
          </w:p>
        </w:tc>
      </w:tr>
      <w:tr w:rsidR="00916311" w:rsidRPr="006547A2" w14:paraId="3607C63A" w14:textId="77777777" w:rsidTr="000972F9">
        <w:tc>
          <w:tcPr>
            <w:tcW w:w="3060" w:type="dxa"/>
            <w:shd w:val="clear" w:color="auto" w:fill="auto"/>
          </w:tcPr>
          <w:p w14:paraId="447EC039" w14:textId="1B16B5E9" w:rsidR="00916311" w:rsidRPr="006547A2" w:rsidRDefault="00916311" w:rsidP="00916311">
            <w:pPr>
              <w:rPr>
                <w:rFonts w:ascii="Verdana" w:hAnsi="Verdana" w:cs="Arial"/>
              </w:rPr>
            </w:pPr>
            <w:r w:rsidRPr="00071C0D">
              <w:rPr>
                <w:rFonts w:ascii="Verdana" w:hAnsi="Verdana"/>
                <w:b/>
                <w:bCs/>
                <w:color w:val="000000"/>
              </w:rPr>
              <w:t>Tremfya</w:t>
            </w:r>
            <w:r w:rsidRPr="00071C0D">
              <w:rPr>
                <w:rFonts w:ascii="Verdana" w:hAnsi="Verdana"/>
                <w:color w:val="000000"/>
              </w:rPr>
              <w:t xml:space="preserve"> (guselkumab) 20 mg/2 mL autoinjector induction pack for moderately to severely active Crohn’s disease</w:t>
            </w:r>
          </w:p>
        </w:tc>
        <w:tc>
          <w:tcPr>
            <w:tcW w:w="3240" w:type="dxa"/>
            <w:shd w:val="clear" w:color="auto" w:fill="auto"/>
          </w:tcPr>
          <w:p w14:paraId="2215C51D" w14:textId="77777777" w:rsidR="00916311" w:rsidRPr="00071C0D" w:rsidRDefault="00916311" w:rsidP="00916311">
            <w:pPr>
              <w:rPr>
                <w:rFonts w:ascii="Verdana" w:hAnsi="Verdana"/>
              </w:rPr>
            </w:pPr>
            <w:r w:rsidRPr="00071C0D">
              <w:rPr>
                <w:rFonts w:ascii="Verdana" w:hAnsi="Verdana"/>
              </w:rPr>
              <w:t>CD pack launched with the new FDA approval for moderate to severe CD</w:t>
            </w:r>
          </w:p>
          <w:p w14:paraId="3C00A9A4" w14:textId="77777777" w:rsidR="00916311" w:rsidRPr="006547A2" w:rsidRDefault="00916311" w:rsidP="00916311">
            <w:pPr>
              <w:rPr>
                <w:rFonts w:ascii="Verdana" w:hAnsi="Verdana"/>
              </w:rPr>
            </w:pPr>
          </w:p>
        </w:tc>
        <w:tc>
          <w:tcPr>
            <w:tcW w:w="4617" w:type="dxa"/>
            <w:shd w:val="clear" w:color="auto" w:fill="auto"/>
          </w:tcPr>
          <w:p w14:paraId="11B5FD51" w14:textId="77777777" w:rsidR="00916311" w:rsidRDefault="00916311" w:rsidP="0091631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Medicare, PPO</w:t>
            </w:r>
          </w:p>
          <w:p w14:paraId="0DC3C034" w14:textId="77777777" w:rsidR="00916311" w:rsidRDefault="00916311" w:rsidP="0091631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F: IFP</w:t>
            </w:r>
          </w:p>
          <w:p w14:paraId="0078D173" w14:textId="29B15213" w:rsidR="00916311" w:rsidRPr="006547A2" w:rsidRDefault="00916311" w:rsidP="0091631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NP: Medicaid</w:t>
            </w:r>
          </w:p>
        </w:tc>
      </w:tr>
      <w:tr w:rsidR="00916311" w:rsidRPr="006547A2" w14:paraId="2B9D64B7" w14:textId="77777777" w:rsidTr="000972F9">
        <w:tc>
          <w:tcPr>
            <w:tcW w:w="3060" w:type="dxa"/>
            <w:shd w:val="clear" w:color="auto" w:fill="auto"/>
          </w:tcPr>
          <w:p w14:paraId="043DE886" w14:textId="000AC09D" w:rsidR="00916311" w:rsidRPr="006547A2" w:rsidRDefault="00916311" w:rsidP="00916311">
            <w:pPr>
              <w:rPr>
                <w:rFonts w:ascii="Verdana" w:hAnsi="Verdana" w:cs="Arial"/>
              </w:rPr>
            </w:pPr>
            <w:r w:rsidRPr="00071C0D">
              <w:rPr>
                <w:rFonts w:ascii="Verdana" w:hAnsi="Verdana"/>
                <w:b/>
                <w:bCs/>
                <w:color w:val="000000"/>
              </w:rPr>
              <w:t xml:space="preserve">Ctexli </w:t>
            </w:r>
            <w:r w:rsidRPr="00071C0D">
              <w:rPr>
                <w:rFonts w:ascii="Verdana" w:hAnsi="Verdana"/>
                <w:color w:val="000000"/>
              </w:rPr>
              <w:t>(chenodiol) 250 mg tablets for cerebrotendinous xanthomatosis &amp; Chenodal (chenodiol) 250 mg tablets for gallstones</w:t>
            </w:r>
          </w:p>
        </w:tc>
        <w:tc>
          <w:tcPr>
            <w:tcW w:w="3240" w:type="dxa"/>
            <w:shd w:val="clear" w:color="auto" w:fill="auto"/>
          </w:tcPr>
          <w:p w14:paraId="114137D1" w14:textId="77777777" w:rsidR="00916311" w:rsidRPr="00071C0D" w:rsidRDefault="00916311" w:rsidP="00916311">
            <w:pPr>
              <w:rPr>
                <w:rFonts w:ascii="Verdana" w:hAnsi="Verdana"/>
              </w:rPr>
            </w:pPr>
            <w:r w:rsidRPr="00071C0D">
              <w:rPr>
                <w:rFonts w:ascii="Verdana" w:hAnsi="Verdana"/>
              </w:rPr>
              <w:t>A new formulation of chenodiol (also known chemically as chenodeoxycholic acid) has launched in Ctexli.</w:t>
            </w:r>
          </w:p>
          <w:p w14:paraId="725B398C" w14:textId="77777777" w:rsidR="00916311" w:rsidRPr="006547A2" w:rsidRDefault="00916311" w:rsidP="00916311">
            <w:pPr>
              <w:rPr>
                <w:rFonts w:ascii="Verdana" w:hAnsi="Verdana"/>
              </w:rPr>
            </w:pPr>
          </w:p>
        </w:tc>
        <w:tc>
          <w:tcPr>
            <w:tcW w:w="4617" w:type="dxa"/>
            <w:shd w:val="clear" w:color="auto" w:fill="auto"/>
          </w:tcPr>
          <w:p w14:paraId="30BBB1B6" w14:textId="44F1D843" w:rsidR="00916311" w:rsidRPr="006547A2" w:rsidRDefault="00916311" w:rsidP="0091631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</w:tc>
      </w:tr>
      <w:tr w:rsidR="00916311" w:rsidRPr="006547A2" w14:paraId="11C22246" w14:textId="77777777" w:rsidTr="000972F9">
        <w:tc>
          <w:tcPr>
            <w:tcW w:w="3060" w:type="dxa"/>
            <w:shd w:val="clear" w:color="auto" w:fill="auto"/>
          </w:tcPr>
          <w:p w14:paraId="0C844E16" w14:textId="0CFEF848" w:rsidR="00916311" w:rsidRPr="006547A2" w:rsidRDefault="00916311" w:rsidP="00916311">
            <w:pPr>
              <w:rPr>
                <w:rFonts w:ascii="Verdana" w:hAnsi="Verdana" w:cs="Arial"/>
              </w:rPr>
            </w:pPr>
            <w:r w:rsidRPr="00071C0D">
              <w:rPr>
                <w:rFonts w:ascii="Verdana" w:hAnsi="Verdana"/>
                <w:b/>
                <w:bCs/>
                <w:color w:val="000000"/>
              </w:rPr>
              <w:t>Tezruly</w:t>
            </w:r>
            <w:r w:rsidRPr="00071C0D">
              <w:rPr>
                <w:rFonts w:ascii="Verdana" w:hAnsi="Verdana"/>
                <w:color w:val="000000"/>
              </w:rPr>
              <w:t xml:space="preserve"> (terazosin) 1 mg/mL oral solution for benign prostatic hyperplasia and hypertension</w:t>
            </w:r>
          </w:p>
        </w:tc>
        <w:tc>
          <w:tcPr>
            <w:tcW w:w="3240" w:type="dxa"/>
            <w:shd w:val="clear" w:color="auto" w:fill="auto"/>
          </w:tcPr>
          <w:p w14:paraId="696FEEEB" w14:textId="77777777" w:rsidR="00916311" w:rsidRPr="00071C0D" w:rsidRDefault="00916311" w:rsidP="00916311">
            <w:pPr>
              <w:rPr>
                <w:rFonts w:ascii="Verdana" w:hAnsi="Verdana"/>
              </w:rPr>
            </w:pPr>
            <w:r w:rsidRPr="00071C0D">
              <w:rPr>
                <w:rFonts w:ascii="Verdana" w:hAnsi="Verdana"/>
              </w:rPr>
              <w:t>Tezruly, an oral terazosin solution, was approved through the 505(b)(2) pathway.</w:t>
            </w:r>
          </w:p>
          <w:p w14:paraId="4AB44B47" w14:textId="30940DD3" w:rsidR="00916311" w:rsidRPr="006547A2" w:rsidRDefault="00916311" w:rsidP="00916311">
            <w:pPr>
              <w:rPr>
                <w:rFonts w:ascii="Verdana" w:hAnsi="Verdana"/>
              </w:rPr>
            </w:pPr>
          </w:p>
        </w:tc>
        <w:tc>
          <w:tcPr>
            <w:tcW w:w="4617" w:type="dxa"/>
            <w:shd w:val="clear" w:color="auto" w:fill="auto"/>
          </w:tcPr>
          <w:p w14:paraId="517F0A7C" w14:textId="5F05E306" w:rsidR="00916311" w:rsidRPr="006547A2" w:rsidRDefault="00916311" w:rsidP="0091631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</w:tc>
      </w:tr>
      <w:tr w:rsidR="00916311" w:rsidRPr="006547A2" w14:paraId="0C62ED74" w14:textId="77777777" w:rsidTr="000972F9">
        <w:tc>
          <w:tcPr>
            <w:tcW w:w="3060" w:type="dxa"/>
            <w:shd w:val="clear" w:color="auto" w:fill="auto"/>
          </w:tcPr>
          <w:p w14:paraId="05D85CBE" w14:textId="0DB73D2C" w:rsidR="00916311" w:rsidRPr="005653E7" w:rsidRDefault="00916311" w:rsidP="00916311">
            <w:pPr>
              <w:rPr>
                <w:rFonts w:ascii="Verdana" w:hAnsi="Verdana"/>
                <w:b/>
                <w:bCs/>
                <w:color w:val="000000"/>
              </w:rPr>
            </w:pPr>
            <w:r w:rsidRPr="00071C0D">
              <w:rPr>
                <w:rFonts w:ascii="Verdana" w:hAnsi="Verdana"/>
                <w:b/>
                <w:bCs/>
                <w:color w:val="000000"/>
              </w:rPr>
              <w:t xml:space="preserve">Neffy </w:t>
            </w:r>
            <w:r w:rsidRPr="00071C0D">
              <w:rPr>
                <w:rFonts w:ascii="Verdana" w:hAnsi="Verdana"/>
                <w:color w:val="000000"/>
              </w:rPr>
              <w:t>(epinephrine) 1 mg/0.1 mL nasal spray for allergic reactions in patients 15 kg to &lt; 30 kg</w:t>
            </w:r>
          </w:p>
        </w:tc>
        <w:tc>
          <w:tcPr>
            <w:tcW w:w="3240" w:type="dxa"/>
            <w:shd w:val="clear" w:color="auto" w:fill="auto"/>
          </w:tcPr>
          <w:p w14:paraId="60892940" w14:textId="77777777" w:rsidR="00916311" w:rsidRPr="00071C0D" w:rsidRDefault="00916311" w:rsidP="00916311">
            <w:pPr>
              <w:rPr>
                <w:rFonts w:ascii="Verdana" w:hAnsi="Verdana"/>
              </w:rPr>
            </w:pPr>
            <w:r w:rsidRPr="00071C0D">
              <w:rPr>
                <w:rFonts w:ascii="Verdana" w:hAnsi="Verdana"/>
              </w:rPr>
              <w:t>New lower dose for patients 15kg to &lt;30kg</w:t>
            </w:r>
          </w:p>
          <w:p w14:paraId="586A9713" w14:textId="3AE330AB" w:rsidR="00916311" w:rsidRPr="005653E7" w:rsidRDefault="00916311" w:rsidP="00916311">
            <w:pPr>
              <w:rPr>
                <w:rFonts w:ascii="Verdana" w:hAnsi="Verdana"/>
              </w:rPr>
            </w:pPr>
          </w:p>
        </w:tc>
        <w:tc>
          <w:tcPr>
            <w:tcW w:w="4617" w:type="dxa"/>
            <w:shd w:val="clear" w:color="auto" w:fill="auto"/>
          </w:tcPr>
          <w:p w14:paraId="0DEAF07F" w14:textId="77777777" w:rsidR="00916311" w:rsidRDefault="00916311" w:rsidP="0091631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Medicare, PPO</w:t>
            </w:r>
          </w:p>
          <w:p w14:paraId="0C329AA2" w14:textId="0918ED1D" w:rsidR="00916311" w:rsidRPr="005653E7" w:rsidRDefault="00916311" w:rsidP="0091631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F: IFP, Medicaid</w:t>
            </w:r>
          </w:p>
        </w:tc>
      </w:tr>
      <w:tr w:rsidR="00916311" w:rsidRPr="006547A2" w14:paraId="1A6A76C0" w14:textId="77777777" w:rsidTr="000972F9">
        <w:tc>
          <w:tcPr>
            <w:tcW w:w="3060" w:type="dxa"/>
            <w:shd w:val="clear" w:color="auto" w:fill="auto"/>
          </w:tcPr>
          <w:p w14:paraId="1329A842" w14:textId="1C614037" w:rsidR="00916311" w:rsidRPr="00071C0D" w:rsidRDefault="00916311" w:rsidP="00916311">
            <w:pPr>
              <w:rPr>
                <w:rFonts w:ascii="Verdana" w:hAnsi="Verdana"/>
                <w:b/>
                <w:bCs/>
                <w:color w:val="000000"/>
              </w:rPr>
            </w:pPr>
            <w:r w:rsidRPr="00071C0D">
              <w:rPr>
                <w:rFonts w:ascii="Verdana" w:hAnsi="Verdana"/>
                <w:b/>
                <w:bCs/>
                <w:color w:val="000000"/>
              </w:rPr>
              <w:t xml:space="preserve">Sunlenca </w:t>
            </w:r>
            <w:r w:rsidRPr="00071C0D">
              <w:rPr>
                <w:rFonts w:ascii="Verdana" w:hAnsi="Verdana"/>
                <w:color w:val="000000"/>
              </w:rPr>
              <w:t>(lenacapavir) 300 mg tablets for HIV [4 tablet bottle]</w:t>
            </w:r>
          </w:p>
        </w:tc>
        <w:tc>
          <w:tcPr>
            <w:tcW w:w="3240" w:type="dxa"/>
            <w:shd w:val="clear" w:color="auto" w:fill="auto"/>
          </w:tcPr>
          <w:p w14:paraId="630413B4" w14:textId="77777777" w:rsidR="00916311" w:rsidRPr="00071C0D" w:rsidRDefault="00916311" w:rsidP="00916311">
            <w:pPr>
              <w:rPr>
                <w:rFonts w:ascii="Verdana" w:hAnsi="Verdana"/>
              </w:rPr>
            </w:pPr>
            <w:r w:rsidRPr="00071C0D">
              <w:rPr>
                <w:rFonts w:ascii="Verdana" w:hAnsi="Verdana"/>
              </w:rPr>
              <w:t>New packaging of the same 300mg tablets (previously only available in blister packs)</w:t>
            </w:r>
          </w:p>
          <w:p w14:paraId="40289B7B" w14:textId="77777777" w:rsidR="00916311" w:rsidRPr="00071C0D" w:rsidRDefault="00916311" w:rsidP="00916311">
            <w:pPr>
              <w:rPr>
                <w:rFonts w:ascii="Verdana" w:hAnsi="Verdana"/>
              </w:rPr>
            </w:pPr>
          </w:p>
        </w:tc>
        <w:tc>
          <w:tcPr>
            <w:tcW w:w="4617" w:type="dxa"/>
            <w:shd w:val="clear" w:color="auto" w:fill="auto"/>
          </w:tcPr>
          <w:p w14:paraId="70E19DAA" w14:textId="5EAFA5F4" w:rsidR="00916311" w:rsidRDefault="00916311" w:rsidP="0091631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F: all lines of business</w:t>
            </w:r>
          </w:p>
        </w:tc>
      </w:tr>
      <w:tr w:rsidR="00916311" w:rsidRPr="006547A2" w14:paraId="08901B04" w14:textId="77777777" w:rsidTr="000972F9">
        <w:tc>
          <w:tcPr>
            <w:tcW w:w="3060" w:type="dxa"/>
            <w:shd w:val="clear" w:color="auto" w:fill="auto"/>
          </w:tcPr>
          <w:p w14:paraId="0EF8F491" w14:textId="5F11C40B" w:rsidR="00916311" w:rsidRPr="00071C0D" w:rsidRDefault="00916311" w:rsidP="00916311">
            <w:pPr>
              <w:rPr>
                <w:rFonts w:ascii="Verdana" w:hAnsi="Verdana"/>
                <w:b/>
                <w:bCs/>
                <w:color w:val="000000"/>
              </w:rPr>
            </w:pPr>
            <w:r w:rsidRPr="00071C0D">
              <w:rPr>
                <w:rFonts w:ascii="Verdana" w:hAnsi="Verdana"/>
                <w:b/>
                <w:bCs/>
                <w:color w:val="000000"/>
              </w:rPr>
              <w:t>Paxlovid</w:t>
            </w:r>
            <w:r w:rsidRPr="00071C0D">
              <w:rPr>
                <w:rFonts w:ascii="Verdana" w:hAnsi="Verdana"/>
                <w:color w:val="000000"/>
              </w:rPr>
              <w:t xml:space="preserve"> (nirmatrelvir/ritonavir) 6 x 150 mg/5 x 100 mg tablet pack for COVID-19</w:t>
            </w:r>
          </w:p>
        </w:tc>
        <w:tc>
          <w:tcPr>
            <w:tcW w:w="3240" w:type="dxa"/>
            <w:shd w:val="clear" w:color="auto" w:fill="auto"/>
          </w:tcPr>
          <w:p w14:paraId="7FCB058F" w14:textId="1EF48619" w:rsidR="00916311" w:rsidRPr="00071C0D" w:rsidRDefault="00916311" w:rsidP="00916311">
            <w:pPr>
              <w:rPr>
                <w:rFonts w:ascii="Verdana" w:hAnsi="Verdana"/>
              </w:rPr>
            </w:pPr>
            <w:r w:rsidRPr="00071C0D">
              <w:rPr>
                <w:rFonts w:ascii="Verdana" w:hAnsi="Verdana"/>
              </w:rPr>
              <w:t xml:space="preserve">A new packaging for Paxlovid recently launched to accommodate the dosing in those with severe renal impairment (eGFR &lt; 30 mL/min) </w:t>
            </w:r>
            <w:r w:rsidRPr="00071C0D">
              <w:rPr>
                <w:rFonts w:ascii="Verdana" w:hAnsi="Verdana"/>
              </w:rPr>
              <w:lastRenderedPageBreak/>
              <w:t>including those requiring hemodialysis.</w:t>
            </w:r>
          </w:p>
        </w:tc>
        <w:tc>
          <w:tcPr>
            <w:tcW w:w="4617" w:type="dxa"/>
            <w:shd w:val="clear" w:color="auto" w:fill="auto"/>
          </w:tcPr>
          <w:p w14:paraId="2AA14991" w14:textId="627C19FE" w:rsidR="00916311" w:rsidRDefault="00916311" w:rsidP="0091631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F: all lines of business</w:t>
            </w:r>
          </w:p>
        </w:tc>
      </w:tr>
      <w:tr w:rsidR="00916311" w:rsidRPr="006547A2" w14:paraId="054C486A" w14:textId="77777777" w:rsidTr="000972F9">
        <w:tc>
          <w:tcPr>
            <w:tcW w:w="3060" w:type="dxa"/>
            <w:shd w:val="clear" w:color="auto" w:fill="auto"/>
          </w:tcPr>
          <w:p w14:paraId="7391B77A" w14:textId="072EBB43" w:rsidR="00916311" w:rsidRPr="00071C0D" w:rsidRDefault="00916311" w:rsidP="00916311">
            <w:pPr>
              <w:rPr>
                <w:rFonts w:ascii="Verdana" w:hAnsi="Verdana"/>
                <w:b/>
                <w:bCs/>
                <w:color w:val="000000"/>
              </w:rPr>
            </w:pPr>
            <w:r w:rsidRPr="00071C0D">
              <w:rPr>
                <w:rFonts w:ascii="Verdana" w:hAnsi="Verdana"/>
                <w:b/>
                <w:bCs/>
                <w:color w:val="000000"/>
              </w:rPr>
              <w:t xml:space="preserve">Bisoprolol </w:t>
            </w:r>
            <w:r w:rsidRPr="00071C0D">
              <w:rPr>
                <w:rFonts w:ascii="Verdana" w:hAnsi="Verdana"/>
                <w:color w:val="000000"/>
              </w:rPr>
              <w:t>2.5 mg tablets for hypertension</w:t>
            </w:r>
          </w:p>
        </w:tc>
        <w:tc>
          <w:tcPr>
            <w:tcW w:w="3240" w:type="dxa"/>
            <w:shd w:val="clear" w:color="auto" w:fill="auto"/>
          </w:tcPr>
          <w:p w14:paraId="3838BE81" w14:textId="6D88FF25" w:rsidR="00916311" w:rsidRPr="00071C0D" w:rsidRDefault="00916311" w:rsidP="00916311">
            <w:pPr>
              <w:rPr>
                <w:rFonts w:ascii="Verdana" w:hAnsi="Verdana"/>
              </w:rPr>
            </w:pPr>
            <w:r w:rsidRPr="00071C0D">
              <w:rPr>
                <w:rFonts w:ascii="Verdana" w:hAnsi="Verdana"/>
              </w:rPr>
              <w:t>A single-source branded 2.5 mg strength of bisoprolol launched. &gt;14x the cost of the 5mg tablet</w:t>
            </w:r>
          </w:p>
        </w:tc>
        <w:tc>
          <w:tcPr>
            <w:tcW w:w="4617" w:type="dxa"/>
            <w:shd w:val="clear" w:color="auto" w:fill="auto"/>
          </w:tcPr>
          <w:p w14:paraId="73F12603" w14:textId="5B426141" w:rsidR="00916311" w:rsidRDefault="00916311" w:rsidP="0091631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</w:tc>
      </w:tr>
      <w:tr w:rsidR="00916311" w:rsidRPr="006547A2" w14:paraId="7F9E25D8" w14:textId="77777777" w:rsidTr="000972F9">
        <w:tc>
          <w:tcPr>
            <w:tcW w:w="3060" w:type="dxa"/>
            <w:shd w:val="clear" w:color="auto" w:fill="auto"/>
          </w:tcPr>
          <w:p w14:paraId="2532699C" w14:textId="39037810" w:rsidR="00916311" w:rsidRPr="00071C0D" w:rsidRDefault="00916311" w:rsidP="00916311">
            <w:pPr>
              <w:rPr>
                <w:rFonts w:ascii="Verdana" w:hAnsi="Verdana"/>
                <w:b/>
                <w:bCs/>
                <w:color w:val="000000"/>
              </w:rPr>
            </w:pPr>
            <w:r w:rsidRPr="00071C0D">
              <w:rPr>
                <w:rFonts w:ascii="Verdana" w:hAnsi="Verdana"/>
                <w:b/>
                <w:bCs/>
                <w:color w:val="000000"/>
              </w:rPr>
              <w:t xml:space="preserve">Dolobid </w:t>
            </w:r>
            <w:r w:rsidRPr="00071C0D">
              <w:rPr>
                <w:rFonts w:ascii="Verdana" w:hAnsi="Verdana"/>
                <w:color w:val="000000"/>
              </w:rPr>
              <w:t>(diflunisal) 375 mg tablet &amp; 250 mg tablet (previously available) for pain</w:t>
            </w:r>
          </w:p>
        </w:tc>
        <w:tc>
          <w:tcPr>
            <w:tcW w:w="3240" w:type="dxa"/>
            <w:shd w:val="clear" w:color="auto" w:fill="auto"/>
          </w:tcPr>
          <w:p w14:paraId="1A0A51BA" w14:textId="598BC10E" w:rsidR="00916311" w:rsidRPr="00071C0D" w:rsidRDefault="00916311" w:rsidP="00916311">
            <w:pPr>
              <w:rPr>
                <w:rFonts w:ascii="Verdana" w:hAnsi="Verdana"/>
              </w:rPr>
            </w:pPr>
            <w:r w:rsidRPr="00071C0D">
              <w:rPr>
                <w:rFonts w:ascii="Verdana" w:hAnsi="Verdana"/>
              </w:rPr>
              <w:t>An additional 375 mg strength of Dolobid (diflunisal) launched. &gt;60x the cost of the generically available 500mg tablet</w:t>
            </w:r>
          </w:p>
        </w:tc>
        <w:tc>
          <w:tcPr>
            <w:tcW w:w="4617" w:type="dxa"/>
            <w:shd w:val="clear" w:color="auto" w:fill="auto"/>
          </w:tcPr>
          <w:p w14:paraId="18EE0E0F" w14:textId="27912CEC" w:rsidR="00916311" w:rsidRDefault="00916311" w:rsidP="0091631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</w:tc>
      </w:tr>
      <w:tr w:rsidR="00916311" w:rsidRPr="006547A2" w14:paraId="272C1CB0" w14:textId="77777777" w:rsidTr="000972F9">
        <w:tc>
          <w:tcPr>
            <w:tcW w:w="3060" w:type="dxa"/>
            <w:shd w:val="clear" w:color="auto" w:fill="auto"/>
          </w:tcPr>
          <w:p w14:paraId="5DAC3502" w14:textId="15321340" w:rsidR="00916311" w:rsidRPr="00071C0D" w:rsidRDefault="00916311" w:rsidP="00916311">
            <w:pPr>
              <w:rPr>
                <w:rFonts w:ascii="Verdana" w:hAnsi="Verdana"/>
                <w:b/>
                <w:bCs/>
                <w:color w:val="000000"/>
              </w:rPr>
            </w:pPr>
            <w:r w:rsidRPr="00071C0D">
              <w:rPr>
                <w:rFonts w:ascii="Verdana" w:hAnsi="Verdana"/>
                <w:b/>
                <w:bCs/>
                <w:color w:val="000000"/>
              </w:rPr>
              <w:t>Symbravo</w:t>
            </w:r>
            <w:r w:rsidRPr="00071C0D">
              <w:rPr>
                <w:rFonts w:ascii="Verdana" w:hAnsi="Verdana"/>
                <w:color w:val="000000"/>
              </w:rPr>
              <w:t xml:space="preserve"> (meloxicam-rizatriptan) 20-10 mg tablet for migraine</w:t>
            </w:r>
          </w:p>
        </w:tc>
        <w:tc>
          <w:tcPr>
            <w:tcW w:w="3240" w:type="dxa"/>
            <w:shd w:val="clear" w:color="auto" w:fill="auto"/>
          </w:tcPr>
          <w:p w14:paraId="0E6F71E3" w14:textId="77777777" w:rsidR="00916311" w:rsidRPr="00071C0D" w:rsidRDefault="00916311" w:rsidP="00916311">
            <w:pPr>
              <w:rPr>
                <w:rFonts w:ascii="Verdana" w:hAnsi="Verdana"/>
              </w:rPr>
            </w:pPr>
            <w:r w:rsidRPr="00071C0D">
              <w:rPr>
                <w:rFonts w:ascii="Verdana" w:hAnsi="Verdana"/>
              </w:rPr>
              <w:t>A new combination of meloxicam and rizatriptan has launched, with a price of $128 per tablet.</w:t>
            </w:r>
          </w:p>
          <w:p w14:paraId="327A7D85" w14:textId="77777777" w:rsidR="00916311" w:rsidRPr="00071C0D" w:rsidRDefault="00916311" w:rsidP="00916311">
            <w:pPr>
              <w:rPr>
                <w:rFonts w:ascii="Verdana" w:hAnsi="Verdana"/>
              </w:rPr>
            </w:pPr>
          </w:p>
        </w:tc>
        <w:tc>
          <w:tcPr>
            <w:tcW w:w="4617" w:type="dxa"/>
            <w:shd w:val="clear" w:color="auto" w:fill="auto"/>
          </w:tcPr>
          <w:p w14:paraId="202E3175" w14:textId="181A80C7" w:rsidR="00916311" w:rsidRDefault="00916311" w:rsidP="0091631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</w:tc>
      </w:tr>
      <w:tr w:rsidR="00916311" w:rsidRPr="006547A2" w14:paraId="717B116C" w14:textId="77777777" w:rsidTr="000972F9">
        <w:tc>
          <w:tcPr>
            <w:tcW w:w="3060" w:type="dxa"/>
            <w:shd w:val="clear" w:color="auto" w:fill="auto"/>
          </w:tcPr>
          <w:p w14:paraId="50778629" w14:textId="2590BC04" w:rsidR="00916311" w:rsidRPr="00071C0D" w:rsidRDefault="00916311" w:rsidP="00916311">
            <w:pPr>
              <w:rPr>
                <w:rFonts w:ascii="Verdana" w:hAnsi="Verdana"/>
                <w:b/>
                <w:bCs/>
                <w:color w:val="000000"/>
              </w:rPr>
            </w:pPr>
            <w:r w:rsidRPr="00071C0D">
              <w:rPr>
                <w:rFonts w:ascii="Verdana" w:hAnsi="Verdana"/>
                <w:b/>
                <w:bCs/>
                <w:color w:val="000000"/>
              </w:rPr>
              <w:t>Feriva</w:t>
            </w:r>
            <w:r w:rsidRPr="00071C0D">
              <w:rPr>
                <w:rFonts w:ascii="Verdana" w:hAnsi="Verdana"/>
                <w:color w:val="000000"/>
              </w:rPr>
              <w:t xml:space="preserve"> 21/7 Rx multivitamin tablet with iron &amp; </w:t>
            </w:r>
            <w:r w:rsidRPr="00071C0D">
              <w:rPr>
                <w:rFonts w:ascii="Verdana" w:hAnsi="Verdana"/>
                <w:b/>
                <w:bCs/>
                <w:color w:val="000000"/>
              </w:rPr>
              <w:t xml:space="preserve">Prenate Max </w:t>
            </w:r>
            <w:r w:rsidRPr="00071C0D">
              <w:rPr>
                <w:rFonts w:ascii="Verdana" w:hAnsi="Verdana"/>
                <w:color w:val="000000"/>
              </w:rPr>
              <w:t>Rx prenatal vitamin with iron</w:t>
            </w:r>
          </w:p>
        </w:tc>
        <w:tc>
          <w:tcPr>
            <w:tcW w:w="3240" w:type="dxa"/>
            <w:shd w:val="clear" w:color="auto" w:fill="auto"/>
          </w:tcPr>
          <w:p w14:paraId="05FED12A" w14:textId="77777777" w:rsidR="00916311" w:rsidRPr="00071C0D" w:rsidRDefault="00916311" w:rsidP="00916311">
            <w:pPr>
              <w:rPr>
                <w:rFonts w:ascii="Verdana" w:hAnsi="Verdana"/>
              </w:rPr>
            </w:pPr>
            <w:r w:rsidRPr="00071C0D">
              <w:rPr>
                <w:rFonts w:ascii="Verdana" w:hAnsi="Verdana"/>
              </w:rPr>
              <w:t>Feriva and Prenate Max are prescription-only multivitamins, one of which is a prenatal vitamin.</w:t>
            </w:r>
          </w:p>
          <w:p w14:paraId="1462C22B" w14:textId="77777777" w:rsidR="00916311" w:rsidRPr="00071C0D" w:rsidRDefault="00916311" w:rsidP="00916311">
            <w:pPr>
              <w:rPr>
                <w:rFonts w:ascii="Verdana" w:hAnsi="Verdana"/>
              </w:rPr>
            </w:pPr>
          </w:p>
        </w:tc>
        <w:tc>
          <w:tcPr>
            <w:tcW w:w="4617" w:type="dxa"/>
            <w:shd w:val="clear" w:color="auto" w:fill="auto"/>
          </w:tcPr>
          <w:p w14:paraId="2BBFA072" w14:textId="03810F4E" w:rsidR="00916311" w:rsidRDefault="00916311" w:rsidP="0091631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</w:tc>
      </w:tr>
      <w:tr w:rsidR="00916311" w:rsidRPr="006547A2" w14:paraId="206D0469" w14:textId="77777777" w:rsidTr="000972F9">
        <w:tc>
          <w:tcPr>
            <w:tcW w:w="3060" w:type="dxa"/>
            <w:shd w:val="clear" w:color="auto" w:fill="auto"/>
          </w:tcPr>
          <w:p w14:paraId="6F0CDA45" w14:textId="65A3A0EA" w:rsidR="00916311" w:rsidRPr="00916311" w:rsidRDefault="00916311" w:rsidP="00916311">
            <w:pPr>
              <w:rPr>
                <w:rFonts w:ascii="Verdana" w:hAnsi="Verdana"/>
                <w:color w:val="000000"/>
              </w:rPr>
            </w:pPr>
            <w:r w:rsidRPr="00071C0D">
              <w:rPr>
                <w:rFonts w:ascii="Verdana" w:hAnsi="Verdana"/>
                <w:b/>
                <w:bCs/>
                <w:color w:val="000000"/>
              </w:rPr>
              <w:t>Hemiclor</w:t>
            </w:r>
            <w:r w:rsidRPr="00071C0D">
              <w:rPr>
                <w:rFonts w:ascii="Verdana" w:hAnsi="Verdana"/>
                <w:color w:val="000000"/>
              </w:rPr>
              <w:t xml:space="preserve"> (chlorthalidone) 12.5 mg tablets for hypertension</w:t>
            </w:r>
          </w:p>
        </w:tc>
        <w:tc>
          <w:tcPr>
            <w:tcW w:w="3240" w:type="dxa"/>
            <w:shd w:val="clear" w:color="auto" w:fill="auto"/>
          </w:tcPr>
          <w:p w14:paraId="5B1E73B0" w14:textId="06E34B2F" w:rsidR="00916311" w:rsidRPr="00071C0D" w:rsidRDefault="00916311" w:rsidP="00916311">
            <w:pPr>
              <w:rPr>
                <w:rFonts w:ascii="Verdana" w:hAnsi="Verdana"/>
              </w:rPr>
            </w:pPr>
            <w:r w:rsidRPr="00071C0D">
              <w:rPr>
                <w:rFonts w:ascii="Verdana" w:hAnsi="Verdana"/>
              </w:rPr>
              <w:t>Hemiclor is a branded 12.5 mg oral chlorthalidone tablet approved through the 505(b)(2) pathway.</w:t>
            </w:r>
          </w:p>
        </w:tc>
        <w:tc>
          <w:tcPr>
            <w:tcW w:w="4617" w:type="dxa"/>
            <w:shd w:val="clear" w:color="auto" w:fill="auto"/>
          </w:tcPr>
          <w:p w14:paraId="3A49130F" w14:textId="18B15201" w:rsidR="00916311" w:rsidRDefault="00916311" w:rsidP="0091631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</w:tc>
      </w:tr>
    </w:tbl>
    <w:p w14:paraId="705ACC2C" w14:textId="77777777" w:rsidR="00D35DC6" w:rsidRDefault="00D35DC6" w:rsidP="00E32DDA">
      <w:pPr>
        <w:rPr>
          <w:rFonts w:ascii="Verdana" w:eastAsia="Times New Roman" w:hAnsi="Verdana" w:cs="Arial"/>
          <w:b/>
          <w:sz w:val="20"/>
          <w:szCs w:val="20"/>
        </w:rPr>
      </w:pPr>
    </w:p>
    <w:p w14:paraId="605E9F90" w14:textId="77777777" w:rsidR="001E26E0" w:rsidRPr="00852F8C" w:rsidRDefault="001E26E0" w:rsidP="00E32DDA">
      <w:pPr>
        <w:rPr>
          <w:rFonts w:ascii="Verdana" w:eastAsia="Times New Roman" w:hAnsi="Verdana" w:cs="Arial"/>
          <w:b/>
          <w:sz w:val="20"/>
          <w:szCs w:val="20"/>
        </w:rPr>
      </w:pPr>
    </w:p>
    <w:tbl>
      <w:tblPr>
        <w:tblStyle w:val="LightList-Accent5"/>
        <w:tblW w:w="10890" w:type="dxa"/>
        <w:tblInd w:w="-95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10890"/>
      </w:tblGrid>
      <w:tr w:rsidR="000A6E31" w:rsidRPr="00852F8C" w14:paraId="5A3864ED" w14:textId="77777777" w:rsidTr="00441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shd w:val="clear" w:color="auto" w:fill="00205B"/>
          </w:tcPr>
          <w:bookmarkEnd w:id="0"/>
          <w:p w14:paraId="661BF950" w14:textId="3C9DF300" w:rsidR="000A6E31" w:rsidRPr="007405BD" w:rsidRDefault="000A6E31" w:rsidP="000972F9">
            <w:pPr>
              <w:spacing w:after="240"/>
              <w:rPr>
                <w:rFonts w:ascii="Verdana" w:eastAsia="Times New Roman" w:hAnsi="Verdana" w:cs="Arial"/>
                <w:b w:val="0"/>
              </w:rPr>
            </w:pPr>
            <w:r w:rsidRPr="007405BD">
              <w:rPr>
                <w:rFonts w:ascii="Verdana" w:eastAsia="Times New Roman" w:hAnsi="Verdana" w:cs="Arial"/>
              </w:rPr>
              <w:t>Additional Items Reviewed</w:t>
            </w:r>
          </w:p>
        </w:tc>
      </w:tr>
    </w:tbl>
    <w:tbl>
      <w:tblPr>
        <w:tblStyle w:val="TableGrid"/>
        <w:tblW w:w="10890" w:type="dxa"/>
        <w:tblInd w:w="-95" w:type="dxa"/>
        <w:tblLook w:val="04A0" w:firstRow="1" w:lastRow="0" w:firstColumn="1" w:lastColumn="0" w:noHBand="0" w:noVBand="1"/>
      </w:tblPr>
      <w:tblGrid>
        <w:gridCol w:w="2520"/>
        <w:gridCol w:w="8370"/>
      </w:tblGrid>
      <w:tr w:rsidR="000A6E31" w:rsidRPr="00852F8C" w14:paraId="4588D2D6" w14:textId="77777777" w:rsidTr="001C0339">
        <w:tc>
          <w:tcPr>
            <w:tcW w:w="2520" w:type="dxa"/>
          </w:tcPr>
          <w:p w14:paraId="4084C365" w14:textId="77777777" w:rsidR="000A6E31" w:rsidRPr="007405BD" w:rsidRDefault="000A6E31" w:rsidP="005247AA">
            <w:pPr>
              <w:spacing w:after="240"/>
              <w:rPr>
                <w:rFonts w:ascii="Verdana" w:eastAsia="Times New Roman" w:hAnsi="Verdana" w:cs="Arial"/>
                <w:b/>
              </w:rPr>
            </w:pPr>
            <w:r w:rsidRPr="007405BD">
              <w:rPr>
                <w:rFonts w:ascii="Verdana" w:hAnsi="Verdana"/>
                <w:b/>
                <w:bCs/>
              </w:rPr>
              <w:t>Item</w:t>
            </w:r>
          </w:p>
        </w:tc>
        <w:tc>
          <w:tcPr>
            <w:tcW w:w="8370" w:type="dxa"/>
          </w:tcPr>
          <w:p w14:paraId="4048D7BA" w14:textId="1A200632" w:rsidR="000A6E31" w:rsidRPr="007405BD" w:rsidRDefault="00822707" w:rsidP="005247AA">
            <w:pPr>
              <w:spacing w:after="240"/>
              <w:rPr>
                <w:rFonts w:ascii="Verdana" w:hAnsi="Verdana"/>
                <w:b/>
                <w:bCs/>
              </w:rPr>
            </w:pPr>
            <w:r w:rsidRPr="007405BD">
              <w:rPr>
                <w:rFonts w:ascii="Verdana" w:hAnsi="Verdana"/>
                <w:b/>
                <w:bCs/>
              </w:rPr>
              <w:t>Drugs with New Policies</w:t>
            </w:r>
          </w:p>
        </w:tc>
      </w:tr>
      <w:tr w:rsidR="00822707" w:rsidRPr="00852F8C" w14:paraId="689CEF80" w14:textId="77777777" w:rsidTr="00347888">
        <w:trPr>
          <w:trHeight w:val="377"/>
        </w:trPr>
        <w:tc>
          <w:tcPr>
            <w:tcW w:w="2520" w:type="dxa"/>
          </w:tcPr>
          <w:p w14:paraId="0A40655A" w14:textId="16F4C9F3" w:rsidR="00822707" w:rsidRDefault="00822707" w:rsidP="00822707">
            <w:pPr>
              <w:rPr>
                <w:rFonts w:ascii="Verdana" w:hAnsi="Verdana" w:cs="Times New Roman"/>
                <w:bCs/>
              </w:rPr>
            </w:pPr>
            <w:r w:rsidRPr="006547A2">
              <w:rPr>
                <w:rFonts w:ascii="Verdana" w:hAnsi="Verdana" w:cs="Times New Roman"/>
                <w:bCs/>
              </w:rPr>
              <w:t xml:space="preserve">New Medical Drug Policies (effective </w:t>
            </w:r>
            <w:r w:rsidR="00916311">
              <w:rPr>
                <w:rFonts w:ascii="Verdana" w:hAnsi="Verdana" w:cs="Times New Roman"/>
                <w:bCs/>
              </w:rPr>
              <w:t>8</w:t>
            </w:r>
            <w:r w:rsidR="00B727CC" w:rsidRPr="006547A2">
              <w:rPr>
                <w:rFonts w:ascii="Verdana" w:hAnsi="Verdana" w:cs="Times New Roman"/>
                <w:bCs/>
              </w:rPr>
              <w:t>/1</w:t>
            </w:r>
            <w:r w:rsidRPr="006547A2">
              <w:rPr>
                <w:rFonts w:ascii="Verdana" w:hAnsi="Verdana" w:cs="Times New Roman"/>
                <w:bCs/>
              </w:rPr>
              <w:t>/202</w:t>
            </w:r>
            <w:r w:rsidR="000D701C">
              <w:rPr>
                <w:rFonts w:ascii="Verdana" w:hAnsi="Verdana" w:cs="Times New Roman"/>
                <w:bCs/>
              </w:rPr>
              <w:t>5</w:t>
            </w:r>
            <w:r w:rsidRPr="006547A2">
              <w:rPr>
                <w:rFonts w:ascii="Verdana" w:hAnsi="Verdana" w:cs="Times New Roman"/>
                <w:bCs/>
              </w:rPr>
              <w:t>)</w:t>
            </w:r>
          </w:p>
          <w:p w14:paraId="47B4D3B8" w14:textId="77777777" w:rsidR="00C56DA1" w:rsidRDefault="00C56DA1" w:rsidP="00822707">
            <w:pPr>
              <w:rPr>
                <w:rFonts w:ascii="Verdana" w:hAnsi="Verdana" w:cs="Times New Roman"/>
                <w:bCs/>
              </w:rPr>
            </w:pPr>
          </w:p>
          <w:p w14:paraId="166089E0" w14:textId="252CE866" w:rsidR="00C56DA1" w:rsidRPr="006547A2" w:rsidRDefault="00C56DA1" w:rsidP="00822707">
            <w:pPr>
              <w:rPr>
                <w:rFonts w:ascii="Verdana" w:hAnsi="Verdana" w:cs="Times New Roman"/>
                <w:bCs/>
              </w:rPr>
            </w:pPr>
          </w:p>
        </w:tc>
        <w:tc>
          <w:tcPr>
            <w:tcW w:w="8370" w:type="dxa"/>
          </w:tcPr>
          <w:p w14:paraId="0D254F61" w14:textId="4E2209C2" w:rsidR="00F004BF" w:rsidRPr="007614F2" w:rsidRDefault="00916311" w:rsidP="000D701C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Emrelis</w:t>
            </w:r>
          </w:p>
          <w:p w14:paraId="0CB9AD0D" w14:textId="77777777" w:rsidR="00FB700B" w:rsidRPr="00916311" w:rsidRDefault="00916311" w:rsidP="000D701C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</w:rPr>
              <w:t>Envelto</w:t>
            </w:r>
          </w:p>
          <w:p w14:paraId="1096147E" w14:textId="0C951FD5" w:rsidR="00916311" w:rsidRPr="00AB7540" w:rsidRDefault="00916311" w:rsidP="000D701C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Imaavy</w:t>
            </w:r>
          </w:p>
        </w:tc>
      </w:tr>
    </w:tbl>
    <w:p w14:paraId="4396F646" w14:textId="77777777" w:rsidR="004A4967" w:rsidRPr="0008291B" w:rsidRDefault="004A4967" w:rsidP="004A4967">
      <w:pPr>
        <w:rPr>
          <w:rFonts w:ascii="Verdana" w:eastAsia="Times New Roman" w:hAnsi="Verdana" w:cs="Arial"/>
          <w:sz w:val="20"/>
          <w:szCs w:val="20"/>
        </w:rPr>
      </w:pPr>
    </w:p>
    <w:sectPr w:rsidR="004A4967" w:rsidRPr="0008291B" w:rsidSect="00E70EBB">
      <w:headerReference w:type="default" r:id="rId8"/>
      <w:footerReference w:type="default" r:id="rId9"/>
      <w:type w:val="continuous"/>
      <w:pgSz w:w="12240" w:h="15840"/>
      <w:pgMar w:top="720" w:right="720" w:bottom="720" w:left="720" w:header="720" w:footer="70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46F1D" w14:textId="77777777" w:rsidR="001E0B7A" w:rsidRDefault="001E0B7A">
      <w:r>
        <w:separator/>
      </w:r>
    </w:p>
  </w:endnote>
  <w:endnote w:type="continuationSeparator" w:id="0">
    <w:p w14:paraId="00004FC0" w14:textId="77777777" w:rsidR="001E0B7A" w:rsidRDefault="001E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9736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19AB9F" w14:textId="223CE295" w:rsidR="00E24624" w:rsidRDefault="00E246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6F77D4" w14:textId="44197675" w:rsidR="003F1B83" w:rsidRPr="00E24624" w:rsidRDefault="003F1B83" w:rsidP="00E246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E04DA" w14:textId="77777777" w:rsidR="001E0B7A" w:rsidRDefault="001E0B7A">
      <w:r>
        <w:separator/>
      </w:r>
    </w:p>
  </w:footnote>
  <w:footnote w:type="continuationSeparator" w:id="0">
    <w:p w14:paraId="48C996A1" w14:textId="77777777" w:rsidR="001E0B7A" w:rsidRDefault="001E0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B51D4" w14:textId="19B38D68" w:rsidR="003F1B83" w:rsidRDefault="003F1B83" w:rsidP="007813ED">
    <w:pPr>
      <w:spacing w:before="24"/>
      <w:ind w:right="-20"/>
      <w:jc w:val="center"/>
      <w:rPr>
        <w:rFonts w:ascii="Verdana" w:hAnsi="Verdana"/>
        <w:b/>
        <w:noProof/>
        <w:sz w:val="28"/>
        <w:szCs w:val="28"/>
      </w:rPr>
    </w:pPr>
    <w:r w:rsidRPr="007813ED">
      <w:rPr>
        <w:rFonts w:ascii="Verdana" w:hAnsi="Verdana"/>
        <w:i/>
        <w:iCs/>
        <w:noProof/>
        <w:color w:val="1F497D"/>
        <w:sz w:val="28"/>
        <w:szCs w:val="28"/>
      </w:rPr>
      <w:drawing>
        <wp:anchor distT="0" distB="0" distL="114300" distR="114300" simplePos="0" relativeHeight="251659264" behindDoc="0" locked="0" layoutInCell="1" allowOverlap="1" wp14:anchorId="435F0FDD" wp14:editId="4F530742">
          <wp:simplePos x="0" y="0"/>
          <wp:positionH relativeFrom="margin">
            <wp:posOffset>-352425</wp:posOffset>
          </wp:positionH>
          <wp:positionV relativeFrom="paragraph">
            <wp:posOffset>-336550</wp:posOffset>
          </wp:positionV>
          <wp:extent cx="1914525" cy="400050"/>
          <wp:effectExtent l="0" t="0" r="9525" b="0"/>
          <wp:wrapNone/>
          <wp:docPr id="1" name="Picture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95AC958" w14:textId="3CD0B485" w:rsidR="003F1B83" w:rsidRPr="00C06728" w:rsidRDefault="00D35DC6" w:rsidP="00080E04">
    <w:pPr>
      <w:spacing w:before="24"/>
      <w:ind w:right="-20"/>
      <w:jc w:val="center"/>
      <w:rPr>
        <w:rFonts w:ascii="Verdana" w:hAnsi="Verdana"/>
        <w:b/>
        <w:noProof/>
        <w:sz w:val="24"/>
        <w:szCs w:val="24"/>
      </w:rPr>
    </w:pPr>
    <w:r>
      <w:rPr>
        <w:rFonts w:ascii="Verdana" w:hAnsi="Verdana"/>
        <w:b/>
        <w:noProof/>
        <w:sz w:val="24"/>
        <w:szCs w:val="24"/>
      </w:rPr>
      <w:t>June</w:t>
    </w:r>
    <w:r w:rsidR="00455328">
      <w:rPr>
        <w:rFonts w:ascii="Verdana" w:hAnsi="Verdana"/>
        <w:b/>
        <w:noProof/>
        <w:sz w:val="24"/>
        <w:szCs w:val="24"/>
      </w:rPr>
      <w:t xml:space="preserve"> 202</w:t>
    </w:r>
    <w:r w:rsidR="00F11DC6">
      <w:rPr>
        <w:rFonts w:ascii="Verdana" w:hAnsi="Verdana"/>
        <w:b/>
        <w:noProof/>
        <w:sz w:val="24"/>
        <w:szCs w:val="24"/>
      </w:rPr>
      <w:t>5</w:t>
    </w:r>
    <w:r w:rsidR="003F1B83" w:rsidRPr="00C06728">
      <w:rPr>
        <w:rFonts w:ascii="Verdana" w:eastAsia="Times New Roman" w:hAnsi="Verdana" w:cs="Times New Roman"/>
        <w:b/>
        <w:bCs/>
        <w:spacing w:val="-1"/>
        <w:sz w:val="24"/>
        <w:szCs w:val="24"/>
      </w:rPr>
      <w:t xml:space="preserve"> Pharmacy &amp; </w:t>
    </w:r>
    <w:r w:rsidR="003F1B83" w:rsidRPr="00C06728">
      <w:rPr>
        <w:rFonts w:ascii="Verdana" w:eastAsia="Times New Roman" w:hAnsi="Verdana" w:cs="Times New Roman"/>
        <w:b/>
        <w:bCs/>
        <w:sz w:val="24"/>
        <w:szCs w:val="24"/>
      </w:rPr>
      <w:t>Therapeutics</w:t>
    </w:r>
  </w:p>
  <w:p w14:paraId="3AEB01D9" w14:textId="19FDB444" w:rsidR="003F1B83" w:rsidRDefault="003F1B83" w:rsidP="007813ED">
    <w:pPr>
      <w:spacing w:before="24"/>
      <w:ind w:right="-20"/>
      <w:jc w:val="center"/>
      <w:rPr>
        <w:rFonts w:ascii="Verdana" w:eastAsia="Times New Roman" w:hAnsi="Verdana" w:cs="Times New Roman"/>
        <w:b/>
        <w:bCs/>
        <w:sz w:val="24"/>
        <w:szCs w:val="24"/>
      </w:rPr>
    </w:pPr>
    <w:r w:rsidRPr="00C06728">
      <w:rPr>
        <w:rFonts w:ascii="Verdana" w:eastAsia="Times New Roman" w:hAnsi="Verdana" w:cs="Times New Roman"/>
        <w:b/>
        <w:bCs/>
        <w:spacing w:val="-2"/>
        <w:sz w:val="24"/>
        <w:szCs w:val="24"/>
      </w:rPr>
      <w:t>C</w:t>
    </w:r>
    <w:r w:rsidRPr="00C06728">
      <w:rPr>
        <w:rFonts w:ascii="Verdana" w:eastAsia="Times New Roman" w:hAnsi="Verdana" w:cs="Times New Roman"/>
        <w:b/>
        <w:bCs/>
        <w:spacing w:val="2"/>
        <w:sz w:val="24"/>
        <w:szCs w:val="24"/>
      </w:rPr>
      <w:t>o</w:t>
    </w:r>
    <w:r w:rsidRPr="00C06728">
      <w:rPr>
        <w:rFonts w:ascii="Verdana" w:eastAsia="Times New Roman" w:hAnsi="Verdana" w:cs="Times New Roman"/>
        <w:b/>
        <w:bCs/>
        <w:spacing w:val="-1"/>
        <w:sz w:val="24"/>
        <w:szCs w:val="24"/>
      </w:rPr>
      <w:t>m</w:t>
    </w:r>
    <w:r w:rsidRPr="00C06728">
      <w:rPr>
        <w:rFonts w:ascii="Verdana" w:eastAsia="Times New Roman" w:hAnsi="Verdana" w:cs="Times New Roman"/>
        <w:b/>
        <w:bCs/>
        <w:spacing w:val="-3"/>
        <w:sz w:val="24"/>
        <w:szCs w:val="24"/>
      </w:rPr>
      <w:t>m</w:t>
    </w:r>
    <w:r w:rsidRPr="00C06728">
      <w:rPr>
        <w:rFonts w:ascii="Verdana" w:eastAsia="Times New Roman" w:hAnsi="Verdana" w:cs="Times New Roman"/>
        <w:b/>
        <w:bCs/>
        <w:spacing w:val="1"/>
        <w:sz w:val="24"/>
        <w:szCs w:val="24"/>
      </w:rPr>
      <w:t>i</w:t>
    </w:r>
    <w:r w:rsidRPr="00C06728">
      <w:rPr>
        <w:rFonts w:ascii="Verdana" w:eastAsia="Times New Roman" w:hAnsi="Verdana" w:cs="Times New Roman"/>
        <w:b/>
        <w:bCs/>
        <w:sz w:val="24"/>
        <w:szCs w:val="24"/>
      </w:rPr>
      <w:t xml:space="preserve">ttee </w:t>
    </w:r>
    <w:r w:rsidRPr="00C06728">
      <w:rPr>
        <w:rFonts w:ascii="Verdana" w:eastAsia="Times New Roman" w:hAnsi="Verdana" w:cs="Times New Roman"/>
        <w:b/>
        <w:bCs/>
        <w:spacing w:val="-1"/>
        <w:sz w:val="24"/>
        <w:szCs w:val="24"/>
      </w:rPr>
      <w:t>D</w:t>
    </w:r>
    <w:r w:rsidRPr="00C06728">
      <w:rPr>
        <w:rFonts w:ascii="Verdana" w:eastAsia="Times New Roman" w:hAnsi="Verdana" w:cs="Times New Roman"/>
        <w:b/>
        <w:bCs/>
        <w:sz w:val="24"/>
        <w:szCs w:val="24"/>
      </w:rPr>
      <w:t>ec</w:t>
    </w:r>
    <w:r w:rsidRPr="00C06728">
      <w:rPr>
        <w:rFonts w:ascii="Verdana" w:eastAsia="Times New Roman" w:hAnsi="Verdana" w:cs="Times New Roman"/>
        <w:b/>
        <w:bCs/>
        <w:spacing w:val="-1"/>
        <w:sz w:val="24"/>
        <w:szCs w:val="24"/>
      </w:rPr>
      <w:t>i</w:t>
    </w:r>
    <w:r w:rsidRPr="00C06728">
      <w:rPr>
        <w:rFonts w:ascii="Verdana" w:eastAsia="Times New Roman" w:hAnsi="Verdana" w:cs="Times New Roman"/>
        <w:b/>
        <w:bCs/>
        <w:spacing w:val="1"/>
        <w:sz w:val="24"/>
        <w:szCs w:val="24"/>
      </w:rPr>
      <w:t>s</w:t>
    </w:r>
    <w:r w:rsidRPr="00C06728">
      <w:rPr>
        <w:rFonts w:ascii="Verdana" w:eastAsia="Times New Roman" w:hAnsi="Verdana" w:cs="Times New Roman"/>
        <w:b/>
        <w:bCs/>
        <w:spacing w:val="-1"/>
        <w:sz w:val="24"/>
        <w:szCs w:val="24"/>
      </w:rPr>
      <w:t>i</w:t>
    </w:r>
    <w:r w:rsidRPr="00C06728">
      <w:rPr>
        <w:rFonts w:ascii="Verdana" w:eastAsia="Times New Roman" w:hAnsi="Verdana" w:cs="Times New Roman"/>
        <w:b/>
        <w:bCs/>
        <w:spacing w:val="1"/>
        <w:sz w:val="24"/>
        <w:szCs w:val="24"/>
      </w:rPr>
      <w:t>o</w:t>
    </w:r>
    <w:r w:rsidRPr="00C06728">
      <w:rPr>
        <w:rFonts w:ascii="Verdana" w:eastAsia="Times New Roman" w:hAnsi="Verdana" w:cs="Times New Roman"/>
        <w:b/>
        <w:bCs/>
        <w:spacing w:val="-3"/>
        <w:sz w:val="24"/>
        <w:szCs w:val="24"/>
      </w:rPr>
      <w:t>n</w:t>
    </w:r>
    <w:r w:rsidRPr="00C06728">
      <w:rPr>
        <w:rFonts w:ascii="Verdana" w:eastAsia="Times New Roman" w:hAnsi="Verdana" w:cs="Times New Roman"/>
        <w:b/>
        <w:bCs/>
        <w:sz w:val="24"/>
        <w:szCs w:val="24"/>
      </w:rPr>
      <w:t>s</w:t>
    </w:r>
  </w:p>
  <w:p w14:paraId="34F965A0" w14:textId="77777777" w:rsidR="005D7E74" w:rsidRDefault="005D7E74" w:rsidP="007813ED">
    <w:pPr>
      <w:spacing w:before="24"/>
      <w:ind w:right="-20"/>
      <w:jc w:val="center"/>
      <w:rPr>
        <w:rFonts w:ascii="Verdana" w:eastAsia="Times New Roman" w:hAnsi="Verdana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41C6"/>
    <w:multiLevelType w:val="hybridMultilevel"/>
    <w:tmpl w:val="F6408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032EC"/>
    <w:multiLevelType w:val="hybridMultilevel"/>
    <w:tmpl w:val="68F85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D6A66"/>
    <w:multiLevelType w:val="hybridMultilevel"/>
    <w:tmpl w:val="34D8C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17E23"/>
    <w:multiLevelType w:val="hybridMultilevel"/>
    <w:tmpl w:val="CF660648"/>
    <w:lvl w:ilvl="0" w:tplc="9994303E">
      <w:numFmt w:val="bullet"/>
      <w:lvlText w:val="-"/>
      <w:lvlJc w:val="left"/>
      <w:pPr>
        <w:ind w:left="435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376BE"/>
    <w:multiLevelType w:val="hybridMultilevel"/>
    <w:tmpl w:val="3F1C6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F4BCF"/>
    <w:multiLevelType w:val="hybridMultilevel"/>
    <w:tmpl w:val="164E2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A2C06"/>
    <w:multiLevelType w:val="hybridMultilevel"/>
    <w:tmpl w:val="24FC3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04331"/>
    <w:multiLevelType w:val="hybridMultilevel"/>
    <w:tmpl w:val="0A221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4449C"/>
    <w:multiLevelType w:val="hybridMultilevel"/>
    <w:tmpl w:val="3A4A8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E7BD8"/>
    <w:multiLevelType w:val="hybridMultilevel"/>
    <w:tmpl w:val="6784D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E7C42"/>
    <w:multiLevelType w:val="hybridMultilevel"/>
    <w:tmpl w:val="9E0E1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935C1"/>
    <w:multiLevelType w:val="hybridMultilevel"/>
    <w:tmpl w:val="B9046FD0"/>
    <w:lvl w:ilvl="0" w:tplc="6D0262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835DF"/>
    <w:multiLevelType w:val="hybridMultilevel"/>
    <w:tmpl w:val="BA2EE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96192"/>
    <w:multiLevelType w:val="hybridMultilevel"/>
    <w:tmpl w:val="C0C49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8522D"/>
    <w:multiLevelType w:val="hybridMultilevel"/>
    <w:tmpl w:val="C242F7C8"/>
    <w:lvl w:ilvl="0" w:tplc="76FC13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EEDF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30BE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BC9B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A2D2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8A1A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CCC4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72F9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2EBB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248511A"/>
    <w:multiLevelType w:val="hybridMultilevel"/>
    <w:tmpl w:val="347E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92DCC"/>
    <w:multiLevelType w:val="hybridMultilevel"/>
    <w:tmpl w:val="2A42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D6BC1"/>
    <w:multiLevelType w:val="hybridMultilevel"/>
    <w:tmpl w:val="512A1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C507C"/>
    <w:multiLevelType w:val="hybridMultilevel"/>
    <w:tmpl w:val="D49E3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14A70"/>
    <w:multiLevelType w:val="hybridMultilevel"/>
    <w:tmpl w:val="0D6C3062"/>
    <w:lvl w:ilvl="0" w:tplc="9994303E">
      <w:numFmt w:val="bullet"/>
      <w:lvlText w:val="-"/>
      <w:lvlJc w:val="left"/>
      <w:pPr>
        <w:ind w:left="435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 w15:restartNumberingAfterBreak="0">
    <w:nsid w:val="628B3463"/>
    <w:multiLevelType w:val="hybridMultilevel"/>
    <w:tmpl w:val="0116FED6"/>
    <w:lvl w:ilvl="0" w:tplc="9994303E">
      <w:numFmt w:val="bullet"/>
      <w:lvlText w:val="-"/>
      <w:lvlJc w:val="left"/>
      <w:pPr>
        <w:ind w:left="435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412A8"/>
    <w:multiLevelType w:val="hybridMultilevel"/>
    <w:tmpl w:val="43823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64065"/>
    <w:multiLevelType w:val="hybridMultilevel"/>
    <w:tmpl w:val="1F50C03C"/>
    <w:lvl w:ilvl="0" w:tplc="DF3CB18E">
      <w:start w:val="1"/>
      <w:numFmt w:val="decimal"/>
      <w:suff w:val="nothing"/>
      <w:lvlText w:val="%1."/>
      <w:lvlJc w:val="left"/>
      <w:pPr>
        <w:ind w:left="0" w:firstLine="72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35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3272A"/>
    <w:multiLevelType w:val="hybridMultilevel"/>
    <w:tmpl w:val="7122C8E2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4" w15:restartNumberingAfterBreak="0">
    <w:nsid w:val="6F2106AB"/>
    <w:multiLevelType w:val="hybridMultilevel"/>
    <w:tmpl w:val="D6C61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81CA9"/>
    <w:multiLevelType w:val="hybridMultilevel"/>
    <w:tmpl w:val="70667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749E3"/>
    <w:multiLevelType w:val="hybridMultilevel"/>
    <w:tmpl w:val="C4FEF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700779">
    <w:abstractNumId w:val="21"/>
  </w:num>
  <w:num w:numId="2" w16cid:durableId="1978099830">
    <w:abstractNumId w:val="23"/>
  </w:num>
  <w:num w:numId="3" w16cid:durableId="1002123467">
    <w:abstractNumId w:val="9"/>
  </w:num>
  <w:num w:numId="4" w16cid:durableId="32199846">
    <w:abstractNumId w:val="1"/>
  </w:num>
  <w:num w:numId="5" w16cid:durableId="197477088">
    <w:abstractNumId w:val="7"/>
  </w:num>
  <w:num w:numId="6" w16cid:durableId="1379547306">
    <w:abstractNumId w:val="15"/>
  </w:num>
  <w:num w:numId="7" w16cid:durableId="919951421">
    <w:abstractNumId w:val="8"/>
  </w:num>
  <w:num w:numId="8" w16cid:durableId="63340024">
    <w:abstractNumId w:val="6"/>
  </w:num>
  <w:num w:numId="9" w16cid:durableId="219295041">
    <w:abstractNumId w:val="11"/>
  </w:num>
  <w:num w:numId="10" w16cid:durableId="1379088175">
    <w:abstractNumId w:val="17"/>
  </w:num>
  <w:num w:numId="11" w16cid:durableId="1358458559">
    <w:abstractNumId w:val="26"/>
  </w:num>
  <w:num w:numId="12" w16cid:durableId="832255705">
    <w:abstractNumId w:val="5"/>
  </w:num>
  <w:num w:numId="13" w16cid:durableId="1048648586">
    <w:abstractNumId w:val="19"/>
  </w:num>
  <w:num w:numId="14" w16cid:durableId="865485552">
    <w:abstractNumId w:val="20"/>
  </w:num>
  <w:num w:numId="15" w16cid:durableId="40174074">
    <w:abstractNumId w:val="3"/>
  </w:num>
  <w:num w:numId="16" w16cid:durableId="816722650">
    <w:abstractNumId w:val="0"/>
  </w:num>
  <w:num w:numId="17" w16cid:durableId="345718672">
    <w:abstractNumId w:val="13"/>
  </w:num>
  <w:num w:numId="18" w16cid:durableId="1082531695">
    <w:abstractNumId w:val="18"/>
  </w:num>
  <w:num w:numId="19" w16cid:durableId="1500077621">
    <w:abstractNumId w:val="2"/>
  </w:num>
  <w:num w:numId="20" w16cid:durableId="1599602900">
    <w:abstractNumId w:val="12"/>
  </w:num>
  <w:num w:numId="21" w16cid:durableId="1137836206">
    <w:abstractNumId w:val="25"/>
  </w:num>
  <w:num w:numId="22" w16cid:durableId="1030061509">
    <w:abstractNumId w:val="24"/>
  </w:num>
  <w:num w:numId="23" w16cid:durableId="753742264">
    <w:abstractNumId w:val="10"/>
  </w:num>
  <w:num w:numId="24" w16cid:durableId="1871331762">
    <w:abstractNumId w:val="22"/>
  </w:num>
  <w:num w:numId="25" w16cid:durableId="1879584921">
    <w:abstractNumId w:val="4"/>
  </w:num>
  <w:num w:numId="26" w16cid:durableId="2136289971">
    <w:abstractNumId w:val="14"/>
  </w:num>
  <w:num w:numId="27" w16cid:durableId="4626229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drawingGridHorizontalSpacing w:val="110"/>
  <w:displayHorizontalDrawingGridEvery w:val="2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76F"/>
    <w:rsid w:val="00001331"/>
    <w:rsid w:val="0000536E"/>
    <w:rsid w:val="0000785E"/>
    <w:rsid w:val="00013B7E"/>
    <w:rsid w:val="00015A48"/>
    <w:rsid w:val="00021C33"/>
    <w:rsid w:val="0002693E"/>
    <w:rsid w:val="000276E5"/>
    <w:rsid w:val="00027B5D"/>
    <w:rsid w:val="0003103B"/>
    <w:rsid w:val="00041EE0"/>
    <w:rsid w:val="00042572"/>
    <w:rsid w:val="0005112F"/>
    <w:rsid w:val="0005209D"/>
    <w:rsid w:val="0005632B"/>
    <w:rsid w:val="00062D9B"/>
    <w:rsid w:val="00072DE3"/>
    <w:rsid w:val="00075402"/>
    <w:rsid w:val="000762F7"/>
    <w:rsid w:val="00077220"/>
    <w:rsid w:val="00080E04"/>
    <w:rsid w:val="0008291B"/>
    <w:rsid w:val="0008523F"/>
    <w:rsid w:val="000863CE"/>
    <w:rsid w:val="00090CB6"/>
    <w:rsid w:val="000972F9"/>
    <w:rsid w:val="000A29D3"/>
    <w:rsid w:val="000A3A58"/>
    <w:rsid w:val="000A6E31"/>
    <w:rsid w:val="000B1E4B"/>
    <w:rsid w:val="000B377F"/>
    <w:rsid w:val="000B6BBD"/>
    <w:rsid w:val="000C0DF2"/>
    <w:rsid w:val="000C1AED"/>
    <w:rsid w:val="000C5531"/>
    <w:rsid w:val="000C56D7"/>
    <w:rsid w:val="000D701C"/>
    <w:rsid w:val="000E3555"/>
    <w:rsid w:val="000E718C"/>
    <w:rsid w:val="000E7E43"/>
    <w:rsid w:val="000F3657"/>
    <w:rsid w:val="00103223"/>
    <w:rsid w:val="00111747"/>
    <w:rsid w:val="00113BFC"/>
    <w:rsid w:val="00123683"/>
    <w:rsid w:val="00123A36"/>
    <w:rsid w:val="00153FC2"/>
    <w:rsid w:val="00154175"/>
    <w:rsid w:val="00166739"/>
    <w:rsid w:val="0016796B"/>
    <w:rsid w:val="001679C6"/>
    <w:rsid w:val="001737B3"/>
    <w:rsid w:val="00173929"/>
    <w:rsid w:val="00174C58"/>
    <w:rsid w:val="001762D1"/>
    <w:rsid w:val="00181BB5"/>
    <w:rsid w:val="001877A4"/>
    <w:rsid w:val="001A5644"/>
    <w:rsid w:val="001A7D1B"/>
    <w:rsid w:val="001B05E8"/>
    <w:rsid w:val="001B671E"/>
    <w:rsid w:val="001B70F1"/>
    <w:rsid w:val="001C0339"/>
    <w:rsid w:val="001C4424"/>
    <w:rsid w:val="001C6A3A"/>
    <w:rsid w:val="001D1C4F"/>
    <w:rsid w:val="001E0B7A"/>
    <w:rsid w:val="001E24D2"/>
    <w:rsid w:val="001E26E0"/>
    <w:rsid w:val="001E373C"/>
    <w:rsid w:val="001E756A"/>
    <w:rsid w:val="001F15E8"/>
    <w:rsid w:val="00200C5D"/>
    <w:rsid w:val="0020307C"/>
    <w:rsid w:val="00217B3A"/>
    <w:rsid w:val="00222189"/>
    <w:rsid w:val="00224305"/>
    <w:rsid w:val="002248EA"/>
    <w:rsid w:val="00227DA7"/>
    <w:rsid w:val="0023110B"/>
    <w:rsid w:val="00240902"/>
    <w:rsid w:val="002530EB"/>
    <w:rsid w:val="00254712"/>
    <w:rsid w:val="00255A16"/>
    <w:rsid w:val="00263AA5"/>
    <w:rsid w:val="00276D88"/>
    <w:rsid w:val="002776D4"/>
    <w:rsid w:val="00282F97"/>
    <w:rsid w:val="00286B01"/>
    <w:rsid w:val="00287036"/>
    <w:rsid w:val="00291916"/>
    <w:rsid w:val="00293213"/>
    <w:rsid w:val="00296E12"/>
    <w:rsid w:val="00296EF6"/>
    <w:rsid w:val="002A5AA8"/>
    <w:rsid w:val="002B26A4"/>
    <w:rsid w:val="002B3F56"/>
    <w:rsid w:val="002C7005"/>
    <w:rsid w:val="002D282C"/>
    <w:rsid w:val="002E3600"/>
    <w:rsid w:val="002E4598"/>
    <w:rsid w:val="00300359"/>
    <w:rsid w:val="00303B44"/>
    <w:rsid w:val="0030564B"/>
    <w:rsid w:val="0031220E"/>
    <w:rsid w:val="0031642B"/>
    <w:rsid w:val="003167C3"/>
    <w:rsid w:val="00320E7E"/>
    <w:rsid w:val="0032109D"/>
    <w:rsid w:val="00326070"/>
    <w:rsid w:val="00330E7F"/>
    <w:rsid w:val="0033413B"/>
    <w:rsid w:val="003357F7"/>
    <w:rsid w:val="00342BF8"/>
    <w:rsid w:val="00347603"/>
    <w:rsid w:val="00347888"/>
    <w:rsid w:val="00350CBF"/>
    <w:rsid w:val="00352182"/>
    <w:rsid w:val="00357691"/>
    <w:rsid w:val="003628BE"/>
    <w:rsid w:val="003637F1"/>
    <w:rsid w:val="00365381"/>
    <w:rsid w:val="003718D1"/>
    <w:rsid w:val="00374925"/>
    <w:rsid w:val="0037536D"/>
    <w:rsid w:val="0037686F"/>
    <w:rsid w:val="00376CD6"/>
    <w:rsid w:val="00377322"/>
    <w:rsid w:val="0038015B"/>
    <w:rsid w:val="003847EC"/>
    <w:rsid w:val="00393788"/>
    <w:rsid w:val="00393F0F"/>
    <w:rsid w:val="003A2BC8"/>
    <w:rsid w:val="003A2FBC"/>
    <w:rsid w:val="003B6BD2"/>
    <w:rsid w:val="003C216A"/>
    <w:rsid w:val="003C30B6"/>
    <w:rsid w:val="003C4DD7"/>
    <w:rsid w:val="003D089B"/>
    <w:rsid w:val="003D0A4A"/>
    <w:rsid w:val="003E5867"/>
    <w:rsid w:val="003F1B83"/>
    <w:rsid w:val="003F605C"/>
    <w:rsid w:val="00400E1D"/>
    <w:rsid w:val="00405517"/>
    <w:rsid w:val="00407397"/>
    <w:rsid w:val="00410514"/>
    <w:rsid w:val="00411EE3"/>
    <w:rsid w:val="004178F5"/>
    <w:rsid w:val="004265F7"/>
    <w:rsid w:val="00440BB7"/>
    <w:rsid w:val="0044162D"/>
    <w:rsid w:val="004430D3"/>
    <w:rsid w:val="00443AD2"/>
    <w:rsid w:val="00443D2D"/>
    <w:rsid w:val="00443FD7"/>
    <w:rsid w:val="004471A0"/>
    <w:rsid w:val="00453C40"/>
    <w:rsid w:val="00455328"/>
    <w:rsid w:val="00455724"/>
    <w:rsid w:val="0045729E"/>
    <w:rsid w:val="00460EDB"/>
    <w:rsid w:val="00463796"/>
    <w:rsid w:val="004878FB"/>
    <w:rsid w:val="0049166B"/>
    <w:rsid w:val="004934D4"/>
    <w:rsid w:val="004971A5"/>
    <w:rsid w:val="004A3F96"/>
    <w:rsid w:val="004A4967"/>
    <w:rsid w:val="004B468F"/>
    <w:rsid w:val="004B4A2D"/>
    <w:rsid w:val="004B5320"/>
    <w:rsid w:val="004B5C11"/>
    <w:rsid w:val="004B7440"/>
    <w:rsid w:val="004C1325"/>
    <w:rsid w:val="004C1625"/>
    <w:rsid w:val="004C1E77"/>
    <w:rsid w:val="004C5F89"/>
    <w:rsid w:val="004C78BE"/>
    <w:rsid w:val="004D093E"/>
    <w:rsid w:val="004D176F"/>
    <w:rsid w:val="004D5183"/>
    <w:rsid w:val="004D6922"/>
    <w:rsid w:val="004E6FF6"/>
    <w:rsid w:val="004F2F90"/>
    <w:rsid w:val="004F5834"/>
    <w:rsid w:val="004F71C1"/>
    <w:rsid w:val="004F7C78"/>
    <w:rsid w:val="00501F1C"/>
    <w:rsid w:val="00507646"/>
    <w:rsid w:val="00511917"/>
    <w:rsid w:val="00523363"/>
    <w:rsid w:val="005247AA"/>
    <w:rsid w:val="0053124A"/>
    <w:rsid w:val="005471DD"/>
    <w:rsid w:val="00552179"/>
    <w:rsid w:val="005607E2"/>
    <w:rsid w:val="00567170"/>
    <w:rsid w:val="00570471"/>
    <w:rsid w:val="00583068"/>
    <w:rsid w:val="005842E0"/>
    <w:rsid w:val="005919AE"/>
    <w:rsid w:val="005923D0"/>
    <w:rsid w:val="00595206"/>
    <w:rsid w:val="00596B6A"/>
    <w:rsid w:val="005A0F54"/>
    <w:rsid w:val="005A4597"/>
    <w:rsid w:val="005A54CD"/>
    <w:rsid w:val="005A5771"/>
    <w:rsid w:val="005A7171"/>
    <w:rsid w:val="005B07DA"/>
    <w:rsid w:val="005B6F69"/>
    <w:rsid w:val="005C2E2A"/>
    <w:rsid w:val="005C6C17"/>
    <w:rsid w:val="005C7E4C"/>
    <w:rsid w:val="005D02FA"/>
    <w:rsid w:val="005D0AD5"/>
    <w:rsid w:val="005D5A8C"/>
    <w:rsid w:val="005D7E74"/>
    <w:rsid w:val="005E2989"/>
    <w:rsid w:val="005E716D"/>
    <w:rsid w:val="005E7889"/>
    <w:rsid w:val="005F2A5F"/>
    <w:rsid w:val="005F3EFF"/>
    <w:rsid w:val="00600D38"/>
    <w:rsid w:val="0060264F"/>
    <w:rsid w:val="0062160D"/>
    <w:rsid w:val="006223BC"/>
    <w:rsid w:val="00623004"/>
    <w:rsid w:val="00630D15"/>
    <w:rsid w:val="00631DE6"/>
    <w:rsid w:val="006324B9"/>
    <w:rsid w:val="00632618"/>
    <w:rsid w:val="0063466E"/>
    <w:rsid w:val="0063560A"/>
    <w:rsid w:val="0063773D"/>
    <w:rsid w:val="006411FC"/>
    <w:rsid w:val="00644FCA"/>
    <w:rsid w:val="00646B34"/>
    <w:rsid w:val="00647476"/>
    <w:rsid w:val="00651BDB"/>
    <w:rsid w:val="00651F73"/>
    <w:rsid w:val="00653C33"/>
    <w:rsid w:val="00654666"/>
    <w:rsid w:val="006547A2"/>
    <w:rsid w:val="0065705C"/>
    <w:rsid w:val="006623BA"/>
    <w:rsid w:val="0066383F"/>
    <w:rsid w:val="006678A7"/>
    <w:rsid w:val="00670D60"/>
    <w:rsid w:val="00672217"/>
    <w:rsid w:val="006732A8"/>
    <w:rsid w:val="006746EE"/>
    <w:rsid w:val="006804D8"/>
    <w:rsid w:val="00684C33"/>
    <w:rsid w:val="00690B16"/>
    <w:rsid w:val="006935BF"/>
    <w:rsid w:val="0069703B"/>
    <w:rsid w:val="006977BA"/>
    <w:rsid w:val="006A5737"/>
    <w:rsid w:val="006B16C1"/>
    <w:rsid w:val="006C5E4A"/>
    <w:rsid w:val="006C6F0C"/>
    <w:rsid w:val="006D3FF4"/>
    <w:rsid w:val="006E7EE6"/>
    <w:rsid w:val="006F3BD7"/>
    <w:rsid w:val="006F62E8"/>
    <w:rsid w:val="007010BB"/>
    <w:rsid w:val="007044D6"/>
    <w:rsid w:val="00705890"/>
    <w:rsid w:val="00710E9D"/>
    <w:rsid w:val="00723809"/>
    <w:rsid w:val="00733829"/>
    <w:rsid w:val="0073440C"/>
    <w:rsid w:val="0073594F"/>
    <w:rsid w:val="00736E31"/>
    <w:rsid w:val="007405BD"/>
    <w:rsid w:val="00741038"/>
    <w:rsid w:val="00746B73"/>
    <w:rsid w:val="00752274"/>
    <w:rsid w:val="007523CA"/>
    <w:rsid w:val="00755911"/>
    <w:rsid w:val="007575C7"/>
    <w:rsid w:val="00760FBC"/>
    <w:rsid w:val="007614F2"/>
    <w:rsid w:val="00761F43"/>
    <w:rsid w:val="00762CBA"/>
    <w:rsid w:val="00764303"/>
    <w:rsid w:val="00765246"/>
    <w:rsid w:val="00766DC0"/>
    <w:rsid w:val="00776016"/>
    <w:rsid w:val="007813ED"/>
    <w:rsid w:val="00791941"/>
    <w:rsid w:val="007977D3"/>
    <w:rsid w:val="007A2D68"/>
    <w:rsid w:val="007A2E41"/>
    <w:rsid w:val="007A586C"/>
    <w:rsid w:val="007A7913"/>
    <w:rsid w:val="007A7E74"/>
    <w:rsid w:val="007C152F"/>
    <w:rsid w:val="007D11A0"/>
    <w:rsid w:val="007D1D6A"/>
    <w:rsid w:val="007D3B4E"/>
    <w:rsid w:val="007D59EC"/>
    <w:rsid w:val="007D7099"/>
    <w:rsid w:val="007D7F52"/>
    <w:rsid w:val="007E2C73"/>
    <w:rsid w:val="007E4E57"/>
    <w:rsid w:val="007F3F30"/>
    <w:rsid w:val="007F4708"/>
    <w:rsid w:val="007F475C"/>
    <w:rsid w:val="007F5D21"/>
    <w:rsid w:val="00810A35"/>
    <w:rsid w:val="0081196F"/>
    <w:rsid w:val="008146C0"/>
    <w:rsid w:val="00814D6B"/>
    <w:rsid w:val="00814EE1"/>
    <w:rsid w:val="00820934"/>
    <w:rsid w:val="00822707"/>
    <w:rsid w:val="008238AB"/>
    <w:rsid w:val="00832DF6"/>
    <w:rsid w:val="00832EB0"/>
    <w:rsid w:val="00837406"/>
    <w:rsid w:val="00843F92"/>
    <w:rsid w:val="00844266"/>
    <w:rsid w:val="00844806"/>
    <w:rsid w:val="00852F8C"/>
    <w:rsid w:val="00854C16"/>
    <w:rsid w:val="008615D7"/>
    <w:rsid w:val="0086202F"/>
    <w:rsid w:val="00870C50"/>
    <w:rsid w:val="00873F95"/>
    <w:rsid w:val="008747E1"/>
    <w:rsid w:val="00875379"/>
    <w:rsid w:val="00876AB4"/>
    <w:rsid w:val="00876EFE"/>
    <w:rsid w:val="00876F27"/>
    <w:rsid w:val="00886C6D"/>
    <w:rsid w:val="00886F40"/>
    <w:rsid w:val="008907FC"/>
    <w:rsid w:val="0089593C"/>
    <w:rsid w:val="008A03E8"/>
    <w:rsid w:val="008A3424"/>
    <w:rsid w:val="008B1C3E"/>
    <w:rsid w:val="008B2543"/>
    <w:rsid w:val="008B2789"/>
    <w:rsid w:val="008D2E75"/>
    <w:rsid w:val="008D34C4"/>
    <w:rsid w:val="008D566F"/>
    <w:rsid w:val="008E2C56"/>
    <w:rsid w:val="008E332C"/>
    <w:rsid w:val="008E4E86"/>
    <w:rsid w:val="008E57B6"/>
    <w:rsid w:val="008F2FB5"/>
    <w:rsid w:val="008F582F"/>
    <w:rsid w:val="00901C99"/>
    <w:rsid w:val="00901F72"/>
    <w:rsid w:val="00906017"/>
    <w:rsid w:val="00911CE5"/>
    <w:rsid w:val="00911DEB"/>
    <w:rsid w:val="00914400"/>
    <w:rsid w:val="00914747"/>
    <w:rsid w:val="0091573D"/>
    <w:rsid w:val="00916311"/>
    <w:rsid w:val="00920315"/>
    <w:rsid w:val="00934B10"/>
    <w:rsid w:val="00941DB4"/>
    <w:rsid w:val="0095205D"/>
    <w:rsid w:val="00956AB9"/>
    <w:rsid w:val="00964238"/>
    <w:rsid w:val="009645C1"/>
    <w:rsid w:val="00970958"/>
    <w:rsid w:val="00970C72"/>
    <w:rsid w:val="00970FE4"/>
    <w:rsid w:val="00972555"/>
    <w:rsid w:val="0097320E"/>
    <w:rsid w:val="0097530B"/>
    <w:rsid w:val="00975A46"/>
    <w:rsid w:val="00976ECF"/>
    <w:rsid w:val="0098015B"/>
    <w:rsid w:val="009927A3"/>
    <w:rsid w:val="0099506A"/>
    <w:rsid w:val="00995073"/>
    <w:rsid w:val="009A191A"/>
    <w:rsid w:val="009A327F"/>
    <w:rsid w:val="009C12CD"/>
    <w:rsid w:val="009C2659"/>
    <w:rsid w:val="009D3869"/>
    <w:rsid w:val="009E4205"/>
    <w:rsid w:val="009F5B06"/>
    <w:rsid w:val="00A005B8"/>
    <w:rsid w:val="00A02DD7"/>
    <w:rsid w:val="00A05F99"/>
    <w:rsid w:val="00A07721"/>
    <w:rsid w:val="00A12D85"/>
    <w:rsid w:val="00A1528B"/>
    <w:rsid w:val="00A164C4"/>
    <w:rsid w:val="00A201AE"/>
    <w:rsid w:val="00A22479"/>
    <w:rsid w:val="00A237A9"/>
    <w:rsid w:val="00A24C6C"/>
    <w:rsid w:val="00A30660"/>
    <w:rsid w:val="00A356E9"/>
    <w:rsid w:val="00A4706E"/>
    <w:rsid w:val="00A47147"/>
    <w:rsid w:val="00A54A60"/>
    <w:rsid w:val="00A640AB"/>
    <w:rsid w:val="00A66B54"/>
    <w:rsid w:val="00A829B7"/>
    <w:rsid w:val="00A82C92"/>
    <w:rsid w:val="00A84469"/>
    <w:rsid w:val="00A92595"/>
    <w:rsid w:val="00AA2672"/>
    <w:rsid w:val="00AA31FF"/>
    <w:rsid w:val="00AB0E4C"/>
    <w:rsid w:val="00AB1450"/>
    <w:rsid w:val="00AB22E9"/>
    <w:rsid w:val="00AB6C97"/>
    <w:rsid w:val="00AB7540"/>
    <w:rsid w:val="00AC4968"/>
    <w:rsid w:val="00AD0D0C"/>
    <w:rsid w:val="00AD28A5"/>
    <w:rsid w:val="00AD333B"/>
    <w:rsid w:val="00AD34C7"/>
    <w:rsid w:val="00AD4610"/>
    <w:rsid w:val="00AD66FA"/>
    <w:rsid w:val="00AE1BF7"/>
    <w:rsid w:val="00AE1D31"/>
    <w:rsid w:val="00AE6351"/>
    <w:rsid w:val="00AE79B0"/>
    <w:rsid w:val="00AF0175"/>
    <w:rsid w:val="00AF03AD"/>
    <w:rsid w:val="00AF18FE"/>
    <w:rsid w:val="00AF2228"/>
    <w:rsid w:val="00AF3556"/>
    <w:rsid w:val="00AF502D"/>
    <w:rsid w:val="00B15806"/>
    <w:rsid w:val="00B22836"/>
    <w:rsid w:val="00B26334"/>
    <w:rsid w:val="00B341E2"/>
    <w:rsid w:val="00B42D27"/>
    <w:rsid w:val="00B452FC"/>
    <w:rsid w:val="00B45B7C"/>
    <w:rsid w:val="00B462CE"/>
    <w:rsid w:val="00B53640"/>
    <w:rsid w:val="00B54FDE"/>
    <w:rsid w:val="00B552FE"/>
    <w:rsid w:val="00B727CC"/>
    <w:rsid w:val="00B76A29"/>
    <w:rsid w:val="00B80CEA"/>
    <w:rsid w:val="00B81F89"/>
    <w:rsid w:val="00B9131F"/>
    <w:rsid w:val="00B91F98"/>
    <w:rsid w:val="00B96566"/>
    <w:rsid w:val="00B969C8"/>
    <w:rsid w:val="00B97860"/>
    <w:rsid w:val="00BA476A"/>
    <w:rsid w:val="00BA5EBF"/>
    <w:rsid w:val="00BA65CE"/>
    <w:rsid w:val="00BA6D19"/>
    <w:rsid w:val="00BA7E1A"/>
    <w:rsid w:val="00BB0FE6"/>
    <w:rsid w:val="00BB3847"/>
    <w:rsid w:val="00BB3E10"/>
    <w:rsid w:val="00BB7425"/>
    <w:rsid w:val="00BC0998"/>
    <w:rsid w:val="00BD0499"/>
    <w:rsid w:val="00BD0C1E"/>
    <w:rsid w:val="00BD1D0F"/>
    <w:rsid w:val="00BD4764"/>
    <w:rsid w:val="00BE479A"/>
    <w:rsid w:val="00BE6EB6"/>
    <w:rsid w:val="00C0196F"/>
    <w:rsid w:val="00C06728"/>
    <w:rsid w:val="00C10694"/>
    <w:rsid w:val="00C119D2"/>
    <w:rsid w:val="00C11ADE"/>
    <w:rsid w:val="00C2794E"/>
    <w:rsid w:val="00C3217C"/>
    <w:rsid w:val="00C32D5D"/>
    <w:rsid w:val="00C36463"/>
    <w:rsid w:val="00C45D79"/>
    <w:rsid w:val="00C534D5"/>
    <w:rsid w:val="00C53605"/>
    <w:rsid w:val="00C56DA1"/>
    <w:rsid w:val="00C625FE"/>
    <w:rsid w:val="00C83FC4"/>
    <w:rsid w:val="00C908F5"/>
    <w:rsid w:val="00CA4C87"/>
    <w:rsid w:val="00CB1165"/>
    <w:rsid w:val="00CB7322"/>
    <w:rsid w:val="00CD33D9"/>
    <w:rsid w:val="00CD7CCD"/>
    <w:rsid w:val="00CE6933"/>
    <w:rsid w:val="00CF0AE6"/>
    <w:rsid w:val="00CF20AC"/>
    <w:rsid w:val="00CF3528"/>
    <w:rsid w:val="00D0156A"/>
    <w:rsid w:val="00D04062"/>
    <w:rsid w:val="00D05CEA"/>
    <w:rsid w:val="00D06B4E"/>
    <w:rsid w:val="00D149B9"/>
    <w:rsid w:val="00D20342"/>
    <w:rsid w:val="00D209F3"/>
    <w:rsid w:val="00D21FA9"/>
    <w:rsid w:val="00D2576D"/>
    <w:rsid w:val="00D26979"/>
    <w:rsid w:val="00D3175B"/>
    <w:rsid w:val="00D358CA"/>
    <w:rsid w:val="00D35DC6"/>
    <w:rsid w:val="00D4079E"/>
    <w:rsid w:val="00D46781"/>
    <w:rsid w:val="00D46C3A"/>
    <w:rsid w:val="00D476D1"/>
    <w:rsid w:val="00D5135F"/>
    <w:rsid w:val="00D57D61"/>
    <w:rsid w:val="00D633E8"/>
    <w:rsid w:val="00D6763F"/>
    <w:rsid w:val="00D80B16"/>
    <w:rsid w:val="00D84EC6"/>
    <w:rsid w:val="00D877F3"/>
    <w:rsid w:val="00D9015D"/>
    <w:rsid w:val="00DA2B74"/>
    <w:rsid w:val="00DA3259"/>
    <w:rsid w:val="00DA6D2B"/>
    <w:rsid w:val="00DB5D81"/>
    <w:rsid w:val="00DB6129"/>
    <w:rsid w:val="00DB76EA"/>
    <w:rsid w:val="00DC189A"/>
    <w:rsid w:val="00DC3D3E"/>
    <w:rsid w:val="00DC7D01"/>
    <w:rsid w:val="00DD7640"/>
    <w:rsid w:val="00DD7DA3"/>
    <w:rsid w:val="00DE063F"/>
    <w:rsid w:val="00DF0239"/>
    <w:rsid w:val="00DF3108"/>
    <w:rsid w:val="00E006EC"/>
    <w:rsid w:val="00E013CB"/>
    <w:rsid w:val="00E07AE9"/>
    <w:rsid w:val="00E13B43"/>
    <w:rsid w:val="00E15C2F"/>
    <w:rsid w:val="00E174F6"/>
    <w:rsid w:val="00E24624"/>
    <w:rsid w:val="00E319C1"/>
    <w:rsid w:val="00E32DDA"/>
    <w:rsid w:val="00E4366B"/>
    <w:rsid w:val="00E44EED"/>
    <w:rsid w:val="00E46327"/>
    <w:rsid w:val="00E474FD"/>
    <w:rsid w:val="00E54B19"/>
    <w:rsid w:val="00E70EBB"/>
    <w:rsid w:val="00E71DCB"/>
    <w:rsid w:val="00E744C8"/>
    <w:rsid w:val="00E74BF6"/>
    <w:rsid w:val="00E74D63"/>
    <w:rsid w:val="00E7525F"/>
    <w:rsid w:val="00E77836"/>
    <w:rsid w:val="00E8102A"/>
    <w:rsid w:val="00E82183"/>
    <w:rsid w:val="00E8257D"/>
    <w:rsid w:val="00E83E51"/>
    <w:rsid w:val="00E84053"/>
    <w:rsid w:val="00E841AA"/>
    <w:rsid w:val="00E85C8E"/>
    <w:rsid w:val="00E864E7"/>
    <w:rsid w:val="00E902DB"/>
    <w:rsid w:val="00E91C92"/>
    <w:rsid w:val="00EA0D64"/>
    <w:rsid w:val="00EB661B"/>
    <w:rsid w:val="00EB71D7"/>
    <w:rsid w:val="00EC06CC"/>
    <w:rsid w:val="00EC6614"/>
    <w:rsid w:val="00EC703C"/>
    <w:rsid w:val="00ED2B9A"/>
    <w:rsid w:val="00ED320C"/>
    <w:rsid w:val="00EE322F"/>
    <w:rsid w:val="00EE634E"/>
    <w:rsid w:val="00F003A7"/>
    <w:rsid w:val="00F004BF"/>
    <w:rsid w:val="00F05FFE"/>
    <w:rsid w:val="00F11DC6"/>
    <w:rsid w:val="00F15BF5"/>
    <w:rsid w:val="00F24DFC"/>
    <w:rsid w:val="00F31CE2"/>
    <w:rsid w:val="00F43E91"/>
    <w:rsid w:val="00F60FB8"/>
    <w:rsid w:val="00F6467A"/>
    <w:rsid w:val="00F70514"/>
    <w:rsid w:val="00F73C1A"/>
    <w:rsid w:val="00F76C61"/>
    <w:rsid w:val="00F8644A"/>
    <w:rsid w:val="00F91E3D"/>
    <w:rsid w:val="00F926B2"/>
    <w:rsid w:val="00F965E0"/>
    <w:rsid w:val="00FA1D1E"/>
    <w:rsid w:val="00FA3D06"/>
    <w:rsid w:val="00FA49A1"/>
    <w:rsid w:val="00FA7C28"/>
    <w:rsid w:val="00FB3A36"/>
    <w:rsid w:val="00FB3F79"/>
    <w:rsid w:val="00FB700B"/>
    <w:rsid w:val="00FC051D"/>
    <w:rsid w:val="00FC4D27"/>
    <w:rsid w:val="00FC6389"/>
    <w:rsid w:val="00FD6E95"/>
    <w:rsid w:val="00FE05CF"/>
    <w:rsid w:val="00FE7640"/>
    <w:rsid w:val="00FF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."/>
  <w:listSeparator w:val=","/>
  <w14:docId w14:val="2789C8C4"/>
  <w15:docId w15:val="{D20B5484-1A6A-4CB2-9674-5051FC0C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A35"/>
  </w:style>
  <w:style w:type="paragraph" w:styleId="Footer">
    <w:name w:val="footer"/>
    <w:basedOn w:val="Normal"/>
    <w:link w:val="FooterChar"/>
    <w:uiPriority w:val="99"/>
    <w:unhideWhenUsed/>
    <w:rsid w:val="00810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A35"/>
  </w:style>
  <w:style w:type="table" w:styleId="TableGrid">
    <w:name w:val="Table Grid"/>
    <w:basedOn w:val="TableNormal"/>
    <w:uiPriority w:val="39"/>
    <w:rsid w:val="00552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55217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13B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B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6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1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5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5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5E8"/>
    <w:rPr>
      <w:b/>
      <w:bCs/>
      <w:sz w:val="20"/>
      <w:szCs w:val="20"/>
    </w:rPr>
  </w:style>
  <w:style w:type="paragraph" w:styleId="NoSpacing">
    <w:name w:val="No Spacing"/>
    <w:uiPriority w:val="1"/>
    <w:qFormat/>
    <w:rsid w:val="00A237A9"/>
  </w:style>
  <w:style w:type="paragraph" w:customStyle="1" w:styleId="Standard1">
    <w:name w:val="Standard1"/>
    <w:basedOn w:val="Normal"/>
    <w:rsid w:val="00374925"/>
    <w:pPr>
      <w:spacing w:before="60" w:after="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75402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F9BD.419698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0C65A-7379-4546-A0DC-209D82E6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2641</Words>
  <Characters>15058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Ucare</Company>
  <LinksUpToDate>false</LinksUpToDate>
  <CharactersWithSpaces>17664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 Som</dc:creator>
  <cp:keywords/>
  <dc:description/>
  <cp:lastModifiedBy>Lynda Laitinen-Terlecki</cp:lastModifiedBy>
  <cp:revision>3</cp:revision>
  <cp:lastPrinted>2021-03-05T16:16:00Z</cp:lastPrinted>
  <dcterms:created xsi:type="dcterms:W3CDTF">2025-06-24T15:43:00Z</dcterms:created>
  <dcterms:modified xsi:type="dcterms:W3CDTF">2025-06-25T20:37:00Z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2014-07-24T00:00:00Z</vt:filetime>
  </property>
  <property fmtid="{D5CDD505-2E9C-101B-9397-08002B2CF9AE}" pid="3" name="LastSaved">
    <vt:filetime>2014-10-08T00:00:00Z</vt:filetime>
  </property>
</Properties>
</file>