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86287" w14:textId="67FA93B7" w:rsidR="004A3F96" w:rsidRPr="00A05F99" w:rsidRDefault="004A3F96" w:rsidP="00CB7322">
      <w:pPr>
        <w:spacing w:before="24"/>
        <w:ind w:right="-20"/>
        <w:rPr>
          <w:rFonts w:ascii="Verdana" w:eastAsia="Times New Roman" w:hAnsi="Verdana" w:cs="Times New Roman"/>
          <w:bCs/>
          <w:spacing w:val="2"/>
        </w:rPr>
      </w:pPr>
      <w:proofErr w:type="spellStart"/>
      <w:r w:rsidRPr="00A05F99">
        <w:rPr>
          <w:rFonts w:ascii="Verdana" w:eastAsia="Times New Roman" w:hAnsi="Verdana" w:cs="Times New Roman"/>
          <w:bCs/>
          <w:spacing w:val="2"/>
        </w:rPr>
        <w:t>UCare</w:t>
      </w:r>
      <w:r w:rsidR="00440BB7" w:rsidRPr="00A05F99">
        <w:rPr>
          <w:rFonts w:ascii="Verdana" w:eastAsia="Times New Roman" w:hAnsi="Verdana" w:cs="Times New Roman"/>
          <w:bCs/>
          <w:spacing w:val="2"/>
        </w:rPr>
        <w:t>’s</w:t>
      </w:r>
      <w:proofErr w:type="spellEnd"/>
      <w:r w:rsidRPr="00A05F99">
        <w:rPr>
          <w:rFonts w:ascii="Verdana" w:eastAsia="Times New Roman" w:hAnsi="Verdana" w:cs="Times New Roman"/>
          <w:bCs/>
          <w:spacing w:val="2"/>
        </w:rPr>
        <w:t xml:space="preserve"> Pharmacy and Therapeutics Committee (P&amp;T) is a group of physicians and pharmacists that meet throughout </w:t>
      </w:r>
      <w:r w:rsidR="00AD66FA" w:rsidRPr="00A05F99">
        <w:rPr>
          <w:rFonts w:ascii="Verdana" w:eastAsia="Times New Roman" w:hAnsi="Verdana" w:cs="Times New Roman"/>
          <w:bCs/>
          <w:spacing w:val="2"/>
        </w:rPr>
        <w:t>the year to make changes to UCare formularies</w:t>
      </w:r>
      <w:r w:rsidR="00875379" w:rsidRPr="00A05F99">
        <w:rPr>
          <w:rFonts w:ascii="Verdana" w:eastAsia="Times New Roman" w:hAnsi="Verdana" w:cs="Times New Roman"/>
          <w:bCs/>
          <w:spacing w:val="2"/>
        </w:rPr>
        <w:t xml:space="preserve"> (approved drug list). </w:t>
      </w:r>
      <w:r w:rsidRPr="00A05F99">
        <w:rPr>
          <w:rFonts w:ascii="Verdana" w:eastAsia="Times New Roman" w:hAnsi="Verdana" w:cs="Times New Roman"/>
          <w:bCs/>
          <w:spacing w:val="2"/>
        </w:rPr>
        <w:t>These changes are reviewed based on clinical evidence</w:t>
      </w:r>
      <w:r w:rsidR="0063466E" w:rsidRPr="00A05F99">
        <w:rPr>
          <w:rFonts w:ascii="Verdana" w:eastAsia="Times New Roman" w:hAnsi="Verdana" w:cs="Times New Roman"/>
          <w:bCs/>
          <w:spacing w:val="2"/>
        </w:rPr>
        <w:t xml:space="preserve">, safety, and </w:t>
      </w:r>
      <w:r w:rsidR="00875379" w:rsidRPr="00A05F99">
        <w:rPr>
          <w:rFonts w:ascii="Verdana" w:eastAsia="Times New Roman" w:hAnsi="Verdana" w:cs="Times New Roman"/>
          <w:bCs/>
          <w:spacing w:val="2"/>
        </w:rPr>
        <w:t xml:space="preserve">therapeutic guidelines. </w:t>
      </w:r>
      <w:r w:rsidRPr="00A05F99">
        <w:rPr>
          <w:rFonts w:ascii="Verdana" w:eastAsia="Times New Roman" w:hAnsi="Verdana" w:cs="Times New Roman"/>
          <w:bCs/>
          <w:spacing w:val="2"/>
        </w:rPr>
        <w:t xml:space="preserve">All changes that </w:t>
      </w:r>
      <w:r w:rsidR="0063466E" w:rsidRPr="00A05F99">
        <w:rPr>
          <w:rFonts w:ascii="Verdana" w:eastAsia="Times New Roman" w:hAnsi="Verdana" w:cs="Times New Roman"/>
          <w:bCs/>
          <w:spacing w:val="2"/>
        </w:rPr>
        <w:t xml:space="preserve">are </w:t>
      </w:r>
      <w:r w:rsidRPr="00A05F99">
        <w:rPr>
          <w:rFonts w:ascii="Verdana" w:eastAsia="Times New Roman" w:hAnsi="Verdana" w:cs="Times New Roman"/>
          <w:bCs/>
          <w:spacing w:val="2"/>
        </w:rPr>
        <w:t xml:space="preserve">recommended by P&amp;T </w:t>
      </w:r>
      <w:r w:rsidR="00CB7322" w:rsidRPr="00A05F99">
        <w:rPr>
          <w:rFonts w:ascii="Verdana" w:eastAsia="Times New Roman" w:hAnsi="Verdana" w:cs="Times New Roman"/>
          <w:bCs/>
          <w:spacing w:val="2"/>
        </w:rPr>
        <w:t xml:space="preserve">for the Medicare formularies </w:t>
      </w:r>
      <w:r w:rsidRPr="00A05F99">
        <w:rPr>
          <w:rFonts w:ascii="Verdana" w:eastAsia="Times New Roman" w:hAnsi="Verdana" w:cs="Times New Roman"/>
          <w:bCs/>
          <w:spacing w:val="2"/>
        </w:rPr>
        <w:t>are tentative un</w:t>
      </w:r>
      <w:r w:rsidR="00CB7322" w:rsidRPr="00A05F99">
        <w:rPr>
          <w:rFonts w:ascii="Verdana" w:eastAsia="Times New Roman" w:hAnsi="Verdana" w:cs="Times New Roman"/>
          <w:bCs/>
          <w:spacing w:val="2"/>
        </w:rPr>
        <w:t>til UCare receives final CMS approval.</w:t>
      </w:r>
    </w:p>
    <w:p w14:paraId="65087A81" w14:textId="77777777" w:rsidR="004A3F96" w:rsidRPr="00A05F99" w:rsidRDefault="004A3F96" w:rsidP="004A3F96">
      <w:pPr>
        <w:spacing w:before="24"/>
        <w:ind w:left="569" w:right="-20"/>
        <w:rPr>
          <w:rFonts w:ascii="Verdana" w:eastAsia="Times New Roman" w:hAnsi="Verdana" w:cs="Times New Roman"/>
          <w:bCs/>
          <w:spacing w:val="2"/>
        </w:rPr>
      </w:pPr>
    </w:p>
    <w:p w14:paraId="1150A02D" w14:textId="77777777" w:rsidR="00B81F89" w:rsidRPr="00A05F99" w:rsidRDefault="004A3F96" w:rsidP="00CB7322">
      <w:pPr>
        <w:spacing w:before="24"/>
        <w:ind w:right="-20"/>
        <w:rPr>
          <w:rFonts w:ascii="Verdana" w:eastAsia="Times New Roman" w:hAnsi="Verdana" w:cs="Times New Roman"/>
          <w:bCs/>
          <w:spacing w:val="2"/>
          <w:u w:val="single"/>
        </w:rPr>
      </w:pPr>
      <w:r w:rsidRPr="00A05F99">
        <w:rPr>
          <w:rFonts w:ascii="Verdana" w:eastAsia="Times New Roman" w:hAnsi="Verdana" w:cs="Times New Roman"/>
          <w:bCs/>
          <w:spacing w:val="2"/>
          <w:u w:val="single"/>
        </w:rPr>
        <w:t>Key:</w:t>
      </w:r>
    </w:p>
    <w:p w14:paraId="5D1D94BF" w14:textId="112F53CD" w:rsidR="00B81F89" w:rsidRPr="00A05F99" w:rsidRDefault="00400E1D" w:rsidP="00CB7322">
      <w:pPr>
        <w:spacing w:before="24"/>
        <w:ind w:right="-20"/>
        <w:rPr>
          <w:rFonts w:ascii="Verdana" w:eastAsia="Times New Roman" w:hAnsi="Verdana" w:cs="Times New Roman"/>
          <w:bCs/>
          <w:spacing w:val="2"/>
        </w:rPr>
      </w:pPr>
      <w:r w:rsidRPr="00A05F99">
        <w:rPr>
          <w:rFonts w:ascii="Verdana" w:eastAsia="Times New Roman" w:hAnsi="Verdana" w:cs="Times New Roman"/>
          <w:bCs/>
          <w:spacing w:val="2"/>
        </w:rPr>
        <w:t xml:space="preserve">Medicare: </w:t>
      </w:r>
      <w:r w:rsidR="001B70F1" w:rsidRPr="00A05F99">
        <w:rPr>
          <w:rFonts w:ascii="Verdana" w:eastAsia="Times New Roman" w:hAnsi="Verdana" w:cs="Times New Roman"/>
          <w:bCs/>
          <w:spacing w:val="2"/>
        </w:rPr>
        <w:t>UC</w:t>
      </w:r>
      <w:r w:rsidR="00B81F89" w:rsidRPr="00A05F99">
        <w:rPr>
          <w:rFonts w:ascii="Verdana" w:eastAsia="Times New Roman" w:hAnsi="Verdana" w:cs="Times New Roman"/>
          <w:bCs/>
          <w:spacing w:val="2"/>
        </w:rPr>
        <w:t>ar</w:t>
      </w:r>
      <w:r w:rsidRPr="00A05F99">
        <w:rPr>
          <w:rFonts w:ascii="Verdana" w:eastAsia="Times New Roman" w:hAnsi="Verdana" w:cs="Times New Roman"/>
          <w:bCs/>
          <w:spacing w:val="2"/>
        </w:rPr>
        <w:t>e</w:t>
      </w:r>
      <w:r w:rsidR="005A0F54" w:rsidRPr="00A05F99">
        <w:rPr>
          <w:rFonts w:ascii="Verdana" w:eastAsia="Times New Roman" w:hAnsi="Verdana" w:cs="Times New Roman"/>
          <w:bCs/>
          <w:spacing w:val="2"/>
        </w:rPr>
        <w:t xml:space="preserve"> Medicare</w:t>
      </w:r>
      <w:r w:rsidRPr="00A05F99">
        <w:rPr>
          <w:rFonts w:ascii="Verdana" w:eastAsia="Times New Roman" w:hAnsi="Verdana" w:cs="Times New Roman"/>
          <w:bCs/>
          <w:spacing w:val="2"/>
        </w:rPr>
        <w:t>,</w:t>
      </w:r>
      <w:r w:rsidR="005A0F54" w:rsidRPr="00A05F99">
        <w:rPr>
          <w:rFonts w:ascii="Verdana" w:eastAsia="Times New Roman" w:hAnsi="Verdana" w:cs="Times New Roman"/>
          <w:bCs/>
          <w:spacing w:val="2"/>
        </w:rPr>
        <w:t xml:space="preserve"> UCare Medicare with Fairview and North Memorial,</w:t>
      </w:r>
      <w:r w:rsidRPr="00A05F99">
        <w:rPr>
          <w:rFonts w:ascii="Verdana" w:eastAsia="Times New Roman" w:hAnsi="Verdana" w:cs="Times New Roman"/>
          <w:bCs/>
          <w:spacing w:val="2"/>
        </w:rPr>
        <w:t xml:space="preserve"> </w:t>
      </w:r>
      <w:r w:rsidR="005A0F54" w:rsidRPr="00A05F99">
        <w:rPr>
          <w:rFonts w:ascii="Verdana" w:eastAsia="Times New Roman" w:hAnsi="Verdana" w:cs="Times New Roman"/>
          <w:bCs/>
          <w:spacing w:val="2"/>
        </w:rPr>
        <w:t xml:space="preserve">UCare Group Medicare, </w:t>
      </w:r>
      <w:proofErr w:type="spellStart"/>
      <w:r w:rsidR="00523363" w:rsidRPr="00A05F99">
        <w:rPr>
          <w:rFonts w:ascii="Verdana" w:eastAsia="Times New Roman" w:hAnsi="Verdana" w:cs="Times New Roman"/>
          <w:bCs/>
          <w:spacing w:val="2"/>
        </w:rPr>
        <w:t>EssentiaCare</w:t>
      </w:r>
      <w:proofErr w:type="spellEnd"/>
      <w:r w:rsidR="00523363" w:rsidRPr="00A05F99">
        <w:rPr>
          <w:rFonts w:ascii="Verdana" w:eastAsia="Times New Roman" w:hAnsi="Verdana" w:cs="Times New Roman"/>
          <w:bCs/>
          <w:spacing w:val="2"/>
        </w:rPr>
        <w:t xml:space="preserve">, </w:t>
      </w:r>
      <w:r w:rsidRPr="00A05F99">
        <w:rPr>
          <w:rFonts w:ascii="Verdana" w:eastAsia="Times New Roman" w:hAnsi="Verdana" w:cs="Times New Roman"/>
          <w:bCs/>
          <w:spacing w:val="2"/>
        </w:rPr>
        <w:t>Minnesota Sen</w:t>
      </w:r>
      <w:r w:rsidR="00523363" w:rsidRPr="00A05F99">
        <w:rPr>
          <w:rFonts w:ascii="Verdana" w:eastAsia="Times New Roman" w:hAnsi="Verdana" w:cs="Times New Roman"/>
          <w:bCs/>
          <w:spacing w:val="2"/>
        </w:rPr>
        <w:t>ior Health Options</w:t>
      </w:r>
      <w:r w:rsidR="005A0F54" w:rsidRPr="00A05F99">
        <w:rPr>
          <w:rFonts w:ascii="Verdana" w:eastAsia="Times New Roman" w:hAnsi="Verdana" w:cs="Times New Roman"/>
          <w:bCs/>
          <w:spacing w:val="2"/>
        </w:rPr>
        <w:t xml:space="preserve"> (MSHO)</w:t>
      </w:r>
      <w:r w:rsidR="00523363" w:rsidRPr="00A05F99">
        <w:rPr>
          <w:rFonts w:ascii="Verdana" w:eastAsia="Times New Roman" w:hAnsi="Verdana" w:cs="Times New Roman"/>
          <w:bCs/>
          <w:spacing w:val="2"/>
        </w:rPr>
        <w:t xml:space="preserve"> </w:t>
      </w:r>
      <w:r w:rsidR="005C2E2A" w:rsidRPr="00A05F99">
        <w:rPr>
          <w:rFonts w:ascii="Verdana" w:eastAsia="Times New Roman" w:hAnsi="Verdana" w:cs="Times New Roman"/>
          <w:bCs/>
          <w:spacing w:val="2"/>
        </w:rPr>
        <w:t xml:space="preserve">&amp; </w:t>
      </w:r>
      <w:proofErr w:type="gramStart"/>
      <w:r w:rsidR="005C2E2A" w:rsidRPr="00A05F99">
        <w:rPr>
          <w:rFonts w:ascii="Verdana" w:eastAsia="Times New Roman" w:hAnsi="Verdana" w:cs="Times New Roman"/>
          <w:bCs/>
          <w:spacing w:val="2"/>
        </w:rPr>
        <w:t>Connect</w:t>
      </w:r>
      <w:proofErr w:type="gramEnd"/>
      <w:r w:rsidR="005C2E2A" w:rsidRPr="00A05F99">
        <w:rPr>
          <w:rFonts w:ascii="Verdana" w:eastAsia="Times New Roman" w:hAnsi="Verdana" w:cs="Times New Roman"/>
          <w:bCs/>
          <w:spacing w:val="2"/>
        </w:rPr>
        <w:t xml:space="preserve"> + Medicare </w:t>
      </w:r>
    </w:p>
    <w:p w14:paraId="7EDBF446" w14:textId="712FB4C0" w:rsidR="0005632B" w:rsidRPr="00A05F99" w:rsidRDefault="00854C16" w:rsidP="00CB7322">
      <w:pPr>
        <w:spacing w:before="24"/>
        <w:ind w:right="-20"/>
        <w:rPr>
          <w:rFonts w:ascii="Verdana" w:eastAsia="Times New Roman" w:hAnsi="Verdana" w:cs="Times New Roman"/>
          <w:bCs/>
          <w:spacing w:val="2"/>
        </w:rPr>
      </w:pPr>
      <w:r>
        <w:rPr>
          <w:rFonts w:ascii="Verdana" w:eastAsia="Times New Roman" w:hAnsi="Verdana" w:cs="Times New Roman"/>
          <w:bCs/>
          <w:spacing w:val="2"/>
        </w:rPr>
        <w:t>Medical Assistance</w:t>
      </w:r>
      <w:r w:rsidR="00400E1D" w:rsidRPr="00A05F99">
        <w:rPr>
          <w:rFonts w:ascii="Verdana" w:eastAsia="Times New Roman" w:hAnsi="Verdana" w:cs="Times New Roman"/>
          <w:bCs/>
          <w:spacing w:val="2"/>
        </w:rPr>
        <w:t xml:space="preserve">: PMAP, </w:t>
      </w:r>
      <w:proofErr w:type="spellStart"/>
      <w:r w:rsidR="00400E1D" w:rsidRPr="00A05F99">
        <w:rPr>
          <w:rFonts w:ascii="Verdana" w:eastAsia="Times New Roman" w:hAnsi="Verdana" w:cs="Times New Roman"/>
          <w:bCs/>
          <w:spacing w:val="2"/>
        </w:rPr>
        <w:t>MnCare</w:t>
      </w:r>
      <w:proofErr w:type="spellEnd"/>
      <w:r w:rsidR="00400E1D" w:rsidRPr="00A05F99">
        <w:rPr>
          <w:rFonts w:ascii="Verdana" w:eastAsia="Times New Roman" w:hAnsi="Verdana" w:cs="Times New Roman"/>
          <w:bCs/>
          <w:spacing w:val="2"/>
        </w:rPr>
        <w:t>, MSC+ &amp; Connect</w:t>
      </w:r>
    </w:p>
    <w:p w14:paraId="6F77E887" w14:textId="5944DAAC" w:rsidR="00400E1D" w:rsidRPr="00A05F99" w:rsidRDefault="00400E1D" w:rsidP="00CB7322">
      <w:pPr>
        <w:spacing w:before="24"/>
        <w:ind w:right="-20"/>
        <w:rPr>
          <w:rFonts w:ascii="Verdana" w:eastAsia="Times New Roman" w:hAnsi="Verdana" w:cs="Times New Roman"/>
          <w:bCs/>
          <w:spacing w:val="2"/>
        </w:rPr>
      </w:pPr>
      <w:r w:rsidRPr="00A05F99">
        <w:rPr>
          <w:rFonts w:ascii="Verdana" w:eastAsia="Times New Roman" w:hAnsi="Verdana" w:cs="Times New Roman"/>
          <w:bCs/>
          <w:spacing w:val="2"/>
        </w:rPr>
        <w:t xml:space="preserve">Exchange: UCare </w:t>
      </w:r>
      <w:r w:rsidR="005A0F54" w:rsidRPr="00A05F99">
        <w:rPr>
          <w:rFonts w:ascii="Verdana" w:eastAsia="Times New Roman" w:hAnsi="Verdana" w:cs="Times New Roman"/>
          <w:bCs/>
          <w:spacing w:val="2"/>
        </w:rPr>
        <w:t>Individual and Family Plans</w:t>
      </w:r>
    </w:p>
    <w:p w14:paraId="4185E2F5" w14:textId="77777777" w:rsidR="00303B44" w:rsidRPr="00A05F99" w:rsidRDefault="00303B44" w:rsidP="00CB7322">
      <w:pPr>
        <w:spacing w:before="24"/>
        <w:ind w:right="-20"/>
        <w:rPr>
          <w:rFonts w:ascii="Verdana" w:eastAsia="Times New Roman" w:hAnsi="Verdana" w:cs="Times New Roman"/>
          <w:bCs/>
          <w:spacing w:val="2"/>
        </w:rPr>
      </w:pPr>
    </w:p>
    <w:p w14:paraId="7985106C" w14:textId="0A85FDAA" w:rsidR="004A3F96" w:rsidRPr="00A05F99" w:rsidRDefault="00303B44" w:rsidP="00CB7322">
      <w:pPr>
        <w:spacing w:before="24"/>
        <w:ind w:right="-20"/>
        <w:rPr>
          <w:rFonts w:ascii="Verdana" w:eastAsia="Times New Roman" w:hAnsi="Verdana" w:cs="Times New Roman"/>
          <w:bCs/>
          <w:spacing w:val="2"/>
        </w:rPr>
      </w:pPr>
      <w:r w:rsidRPr="00A05F99">
        <w:rPr>
          <w:rFonts w:ascii="Verdana" w:eastAsia="Times New Roman" w:hAnsi="Verdana" w:cs="Times New Roman"/>
          <w:bCs/>
          <w:spacing w:val="2"/>
        </w:rPr>
        <w:t>F</w:t>
      </w:r>
      <w:r w:rsidR="00347603" w:rsidRPr="00A05F99">
        <w:rPr>
          <w:rFonts w:ascii="Verdana" w:eastAsia="Times New Roman" w:hAnsi="Verdana" w:cs="Times New Roman"/>
          <w:bCs/>
          <w:spacing w:val="2"/>
        </w:rPr>
        <w:t xml:space="preserve">: </w:t>
      </w:r>
      <w:r w:rsidRPr="00A05F99">
        <w:rPr>
          <w:rFonts w:ascii="Verdana" w:eastAsia="Times New Roman" w:hAnsi="Verdana" w:cs="Times New Roman"/>
          <w:bCs/>
          <w:spacing w:val="2"/>
        </w:rPr>
        <w:t>Formulary</w:t>
      </w:r>
      <w:r w:rsidR="00B81F89" w:rsidRPr="00A05F99">
        <w:rPr>
          <w:rFonts w:ascii="Verdana" w:eastAsia="Times New Roman" w:hAnsi="Verdana" w:cs="Times New Roman"/>
          <w:bCs/>
          <w:spacing w:val="2"/>
        </w:rPr>
        <w:tab/>
      </w:r>
      <w:r w:rsidR="00B81F89" w:rsidRPr="00A05F99">
        <w:rPr>
          <w:rFonts w:ascii="Verdana" w:eastAsia="Times New Roman" w:hAnsi="Verdana" w:cs="Times New Roman"/>
          <w:bCs/>
          <w:spacing w:val="2"/>
        </w:rPr>
        <w:tab/>
      </w:r>
      <w:r w:rsidR="00B81F89" w:rsidRPr="00A05F99">
        <w:rPr>
          <w:rFonts w:ascii="Verdana" w:eastAsia="Times New Roman" w:hAnsi="Verdana" w:cs="Times New Roman"/>
          <w:bCs/>
          <w:spacing w:val="2"/>
        </w:rPr>
        <w:tab/>
      </w:r>
      <w:r w:rsidR="00B81F89" w:rsidRPr="00A05F99">
        <w:rPr>
          <w:rFonts w:ascii="Verdana" w:eastAsia="Times New Roman" w:hAnsi="Verdana" w:cs="Times New Roman"/>
          <w:bCs/>
          <w:spacing w:val="2"/>
        </w:rPr>
        <w:tab/>
      </w:r>
      <w:r w:rsidR="00B81F89" w:rsidRPr="00A05F99">
        <w:rPr>
          <w:rFonts w:ascii="Verdana" w:eastAsia="Times New Roman" w:hAnsi="Verdana" w:cs="Times New Roman"/>
          <w:bCs/>
          <w:spacing w:val="2"/>
        </w:rPr>
        <w:tab/>
      </w:r>
      <w:r w:rsidR="00B81F89" w:rsidRPr="00A05F99">
        <w:rPr>
          <w:rFonts w:ascii="Verdana" w:eastAsia="Times New Roman" w:hAnsi="Verdana" w:cs="Times New Roman"/>
          <w:bCs/>
          <w:spacing w:val="2"/>
        </w:rPr>
        <w:tab/>
      </w:r>
      <w:r w:rsidR="00B81F89" w:rsidRPr="00A05F99">
        <w:rPr>
          <w:rFonts w:ascii="Verdana" w:eastAsia="Times New Roman" w:hAnsi="Verdana" w:cs="Times New Roman"/>
          <w:bCs/>
          <w:spacing w:val="2"/>
        </w:rPr>
        <w:tab/>
      </w:r>
    </w:p>
    <w:p w14:paraId="00D3FA92" w14:textId="7173AA21" w:rsidR="00173929" w:rsidRPr="00A05F99" w:rsidRDefault="00173929" w:rsidP="00173929">
      <w:pPr>
        <w:spacing w:before="24"/>
        <w:ind w:right="-20"/>
        <w:rPr>
          <w:rFonts w:ascii="Verdana" w:eastAsia="Times New Roman" w:hAnsi="Verdana" w:cs="Times New Roman"/>
          <w:bCs/>
          <w:spacing w:val="2"/>
        </w:rPr>
      </w:pPr>
      <w:r w:rsidRPr="00A05F99">
        <w:rPr>
          <w:rFonts w:ascii="Verdana" w:eastAsia="Times New Roman" w:hAnsi="Verdana" w:cs="Times New Roman"/>
          <w:bCs/>
          <w:spacing w:val="2"/>
        </w:rPr>
        <w:t>NF</w:t>
      </w:r>
      <w:r w:rsidR="00347603" w:rsidRPr="00A05F99">
        <w:rPr>
          <w:rFonts w:ascii="Verdana" w:eastAsia="Times New Roman" w:hAnsi="Verdana" w:cs="Times New Roman"/>
          <w:bCs/>
          <w:spacing w:val="2"/>
        </w:rPr>
        <w:t xml:space="preserve">: </w:t>
      </w:r>
      <w:r w:rsidRPr="00A05F99">
        <w:rPr>
          <w:rFonts w:ascii="Verdana" w:eastAsia="Times New Roman" w:hAnsi="Verdana" w:cs="Times New Roman"/>
          <w:bCs/>
          <w:spacing w:val="2"/>
        </w:rPr>
        <w:t>Non-formulary</w:t>
      </w:r>
    </w:p>
    <w:p w14:paraId="5F4065EA" w14:textId="7C8229A1" w:rsidR="004934D4" w:rsidRPr="00A05F99" w:rsidRDefault="004934D4" w:rsidP="00844806">
      <w:pPr>
        <w:spacing w:before="24"/>
        <w:ind w:right="-20"/>
        <w:rPr>
          <w:rFonts w:ascii="Verdana" w:eastAsia="Times New Roman" w:hAnsi="Verdana" w:cs="Times New Roman"/>
          <w:bCs/>
          <w:spacing w:val="2"/>
        </w:rPr>
      </w:pPr>
      <w:r w:rsidRPr="00A05F99">
        <w:rPr>
          <w:rFonts w:ascii="Verdana" w:eastAsia="Times New Roman" w:hAnsi="Verdana" w:cs="Times New Roman"/>
          <w:bCs/>
          <w:spacing w:val="2"/>
        </w:rPr>
        <w:t>PA</w:t>
      </w:r>
      <w:r w:rsidR="00347603" w:rsidRPr="00A05F99">
        <w:rPr>
          <w:rFonts w:ascii="Verdana" w:eastAsia="Times New Roman" w:hAnsi="Verdana" w:cs="Times New Roman"/>
          <w:bCs/>
          <w:spacing w:val="2"/>
        </w:rPr>
        <w:t xml:space="preserve">: </w:t>
      </w:r>
      <w:r w:rsidRPr="00A05F99">
        <w:rPr>
          <w:rFonts w:ascii="Verdana" w:eastAsia="Times New Roman" w:hAnsi="Verdana" w:cs="Times New Roman"/>
          <w:bCs/>
          <w:spacing w:val="2"/>
        </w:rPr>
        <w:t xml:space="preserve">Prior Authorization </w:t>
      </w:r>
    </w:p>
    <w:p w14:paraId="2971532A" w14:textId="05202C80" w:rsidR="00844806" w:rsidRPr="00A05F99" w:rsidRDefault="004934D4" w:rsidP="00844806">
      <w:pPr>
        <w:spacing w:before="24"/>
        <w:ind w:right="-20"/>
        <w:rPr>
          <w:rFonts w:ascii="Verdana" w:eastAsia="Times New Roman" w:hAnsi="Verdana" w:cs="Times New Roman"/>
          <w:bCs/>
          <w:spacing w:val="2"/>
        </w:rPr>
      </w:pPr>
      <w:r w:rsidRPr="00A05F99">
        <w:rPr>
          <w:rFonts w:ascii="Verdana" w:eastAsia="Times New Roman" w:hAnsi="Verdana" w:cs="Times New Roman"/>
          <w:bCs/>
          <w:spacing w:val="2"/>
        </w:rPr>
        <w:t>QL</w:t>
      </w:r>
      <w:r w:rsidR="00347603" w:rsidRPr="00A05F99">
        <w:rPr>
          <w:rFonts w:ascii="Verdana" w:eastAsia="Times New Roman" w:hAnsi="Verdana" w:cs="Times New Roman"/>
          <w:bCs/>
          <w:spacing w:val="2"/>
        </w:rPr>
        <w:t xml:space="preserve">: </w:t>
      </w:r>
      <w:r w:rsidRPr="00A05F99">
        <w:rPr>
          <w:rFonts w:ascii="Verdana" w:eastAsia="Times New Roman" w:hAnsi="Verdana" w:cs="Times New Roman"/>
          <w:bCs/>
          <w:spacing w:val="2"/>
        </w:rPr>
        <w:t>Quantity Limit</w:t>
      </w:r>
      <w:r w:rsidRPr="00A05F99">
        <w:rPr>
          <w:rFonts w:ascii="Verdana" w:eastAsia="Times New Roman" w:hAnsi="Verdana" w:cs="Times New Roman"/>
          <w:bCs/>
          <w:spacing w:val="2"/>
        </w:rPr>
        <w:tab/>
      </w:r>
      <w:r w:rsidRPr="00A05F99">
        <w:rPr>
          <w:rFonts w:ascii="Verdana" w:eastAsia="Times New Roman" w:hAnsi="Verdana" w:cs="Times New Roman"/>
          <w:bCs/>
          <w:spacing w:val="2"/>
        </w:rPr>
        <w:tab/>
      </w:r>
      <w:r w:rsidRPr="00A05F99">
        <w:rPr>
          <w:rFonts w:ascii="Verdana" w:eastAsia="Times New Roman" w:hAnsi="Verdana" w:cs="Times New Roman"/>
          <w:bCs/>
          <w:spacing w:val="2"/>
        </w:rPr>
        <w:tab/>
      </w:r>
      <w:r w:rsidRPr="00A05F99">
        <w:rPr>
          <w:rFonts w:ascii="Verdana" w:eastAsia="Times New Roman" w:hAnsi="Verdana" w:cs="Times New Roman"/>
          <w:bCs/>
          <w:spacing w:val="2"/>
        </w:rPr>
        <w:tab/>
      </w:r>
      <w:r w:rsidRPr="00A05F99">
        <w:rPr>
          <w:rFonts w:ascii="Verdana" w:eastAsia="Times New Roman" w:hAnsi="Verdana" w:cs="Times New Roman"/>
          <w:bCs/>
          <w:spacing w:val="2"/>
        </w:rPr>
        <w:tab/>
      </w:r>
    </w:p>
    <w:p w14:paraId="495D3ADA" w14:textId="6D1B218A" w:rsidR="004934D4" w:rsidRPr="00A05F99" w:rsidRDefault="004934D4" w:rsidP="00844806">
      <w:pPr>
        <w:spacing w:before="24"/>
        <w:ind w:right="-20"/>
        <w:rPr>
          <w:rFonts w:ascii="Verdana" w:eastAsia="Times New Roman" w:hAnsi="Verdana" w:cs="Times New Roman"/>
          <w:bCs/>
          <w:spacing w:val="2"/>
        </w:rPr>
      </w:pPr>
      <w:r w:rsidRPr="00A05F99">
        <w:rPr>
          <w:rFonts w:ascii="Verdana" w:eastAsia="Times New Roman" w:hAnsi="Verdana" w:cs="Times New Roman"/>
          <w:bCs/>
          <w:spacing w:val="2"/>
        </w:rPr>
        <w:t>ST</w:t>
      </w:r>
      <w:r w:rsidR="00347603" w:rsidRPr="00A05F99">
        <w:rPr>
          <w:rFonts w:ascii="Verdana" w:eastAsia="Times New Roman" w:hAnsi="Verdana" w:cs="Times New Roman"/>
          <w:bCs/>
          <w:spacing w:val="2"/>
        </w:rPr>
        <w:t xml:space="preserve">: </w:t>
      </w:r>
      <w:r w:rsidRPr="00A05F99">
        <w:rPr>
          <w:rFonts w:ascii="Verdana" w:eastAsia="Times New Roman" w:hAnsi="Verdana" w:cs="Times New Roman"/>
          <w:bCs/>
          <w:spacing w:val="2"/>
        </w:rPr>
        <w:t>Step Therapy</w:t>
      </w:r>
    </w:p>
    <w:p w14:paraId="440A392E" w14:textId="63A1AAD7" w:rsidR="005E2989" w:rsidRDefault="005E2989" w:rsidP="00844806">
      <w:pPr>
        <w:spacing w:before="24"/>
        <w:ind w:right="-20"/>
        <w:rPr>
          <w:rFonts w:ascii="Verdana" w:eastAsia="Times New Roman" w:hAnsi="Verdana" w:cs="Times New Roman"/>
          <w:bCs/>
          <w:spacing w:val="2"/>
        </w:rPr>
      </w:pPr>
    </w:p>
    <w:tbl>
      <w:tblPr>
        <w:tblStyle w:val="LightList-Accent5"/>
        <w:tblW w:w="10890" w:type="dxa"/>
        <w:tblInd w:w="-95" w:type="dxa"/>
        <w:tblBorders>
          <w:top w:val="single" w:sz="4" w:space="0" w:color="17365D" w:themeColor="text2" w:themeShade="BF"/>
          <w:left w:val="single" w:sz="4" w:space="0" w:color="17365D" w:themeColor="text2" w:themeShade="BF"/>
          <w:bottom w:val="single" w:sz="4" w:space="0" w:color="17365D" w:themeColor="text2" w:themeShade="BF"/>
          <w:right w:val="single" w:sz="4" w:space="0" w:color="17365D" w:themeColor="text2" w:themeShade="BF"/>
          <w:insideH w:val="single" w:sz="4" w:space="0" w:color="17365D" w:themeColor="text2" w:themeShade="BF"/>
          <w:insideV w:val="single" w:sz="4" w:space="0" w:color="17365D" w:themeColor="text2" w:themeShade="BF"/>
        </w:tblBorders>
        <w:tblLayout w:type="fixed"/>
        <w:tblLook w:val="04A0" w:firstRow="1" w:lastRow="0" w:firstColumn="1" w:lastColumn="0" w:noHBand="0" w:noVBand="1"/>
      </w:tblPr>
      <w:tblGrid>
        <w:gridCol w:w="10890"/>
      </w:tblGrid>
      <w:tr w:rsidR="004B4A2D" w:rsidRPr="00BA7E1A" w14:paraId="39A37783" w14:textId="77777777" w:rsidTr="004A496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90" w:type="dxa"/>
            <w:shd w:val="clear" w:color="auto" w:fill="00205B"/>
          </w:tcPr>
          <w:p w14:paraId="1C3508E8" w14:textId="27723C7B" w:rsidR="004B4A2D" w:rsidRPr="00852F8C" w:rsidRDefault="004B4A2D" w:rsidP="00FB392C">
            <w:pPr>
              <w:spacing w:after="240"/>
              <w:rPr>
                <w:rFonts w:ascii="Verdana" w:hAnsi="Verdana"/>
                <w:sz w:val="20"/>
                <w:szCs w:val="20"/>
              </w:rPr>
            </w:pPr>
            <w:r w:rsidRPr="00852F8C">
              <w:rPr>
                <w:rFonts w:ascii="Verdana" w:hAnsi="Verdana"/>
                <w:sz w:val="20"/>
                <w:szCs w:val="20"/>
              </w:rPr>
              <w:t xml:space="preserve">New </w:t>
            </w:r>
            <w:r w:rsidR="004A4967" w:rsidRPr="00852F8C">
              <w:rPr>
                <w:rFonts w:ascii="Verdana" w:hAnsi="Verdana"/>
                <w:sz w:val="20"/>
                <w:szCs w:val="20"/>
              </w:rPr>
              <w:t>Drug</w:t>
            </w:r>
            <w:r w:rsidRPr="00852F8C">
              <w:rPr>
                <w:rFonts w:ascii="Verdana" w:hAnsi="Verdana"/>
                <w:sz w:val="20"/>
                <w:szCs w:val="20"/>
              </w:rPr>
              <w:t xml:space="preserve"> Review </w:t>
            </w:r>
          </w:p>
        </w:tc>
      </w:tr>
    </w:tbl>
    <w:tbl>
      <w:tblPr>
        <w:tblStyle w:val="TableGrid"/>
        <w:tblW w:w="10890" w:type="dxa"/>
        <w:tblInd w:w="-95" w:type="dxa"/>
        <w:tblLayout w:type="fixed"/>
        <w:tblLook w:val="04A0" w:firstRow="1" w:lastRow="0" w:firstColumn="1" w:lastColumn="0" w:noHBand="0" w:noVBand="1"/>
      </w:tblPr>
      <w:tblGrid>
        <w:gridCol w:w="2970"/>
        <w:gridCol w:w="3330"/>
        <w:gridCol w:w="3150"/>
        <w:gridCol w:w="1440"/>
      </w:tblGrid>
      <w:tr w:rsidR="00E77836" w14:paraId="28A73A21" w14:textId="77777777" w:rsidTr="00B727CC">
        <w:tc>
          <w:tcPr>
            <w:tcW w:w="2970" w:type="dxa"/>
          </w:tcPr>
          <w:p w14:paraId="4F2C9E27" w14:textId="77777777" w:rsidR="004B4A2D" w:rsidRPr="00A05F99" w:rsidRDefault="004B4A2D" w:rsidP="00FB392C">
            <w:pPr>
              <w:spacing w:after="240"/>
              <w:rPr>
                <w:rFonts w:ascii="Verdana" w:hAnsi="Verdana"/>
              </w:rPr>
            </w:pPr>
            <w:r w:rsidRPr="00A05F99">
              <w:rPr>
                <w:rFonts w:ascii="Verdana" w:hAnsi="Verdana"/>
                <w:b/>
                <w:bCs/>
              </w:rPr>
              <w:t xml:space="preserve">Drug </w:t>
            </w:r>
          </w:p>
        </w:tc>
        <w:tc>
          <w:tcPr>
            <w:tcW w:w="3330" w:type="dxa"/>
          </w:tcPr>
          <w:p w14:paraId="7DBC1588" w14:textId="492A40AC" w:rsidR="004B4A2D" w:rsidRPr="00A05F99" w:rsidRDefault="004B4A2D" w:rsidP="00FB392C">
            <w:pPr>
              <w:spacing w:after="240"/>
              <w:rPr>
                <w:rFonts w:ascii="Verdana" w:hAnsi="Verdana"/>
              </w:rPr>
            </w:pPr>
            <w:r w:rsidRPr="00A05F99">
              <w:rPr>
                <w:rFonts w:ascii="Verdana" w:hAnsi="Verdana"/>
                <w:b/>
                <w:bCs/>
              </w:rPr>
              <w:t>Indication</w:t>
            </w:r>
          </w:p>
        </w:tc>
        <w:tc>
          <w:tcPr>
            <w:tcW w:w="3150" w:type="dxa"/>
          </w:tcPr>
          <w:p w14:paraId="6E42E2D8" w14:textId="302EC425" w:rsidR="004B4A2D" w:rsidRPr="00A05F99" w:rsidRDefault="004B4A2D" w:rsidP="00FB392C">
            <w:pPr>
              <w:spacing w:after="240"/>
              <w:rPr>
                <w:rFonts w:ascii="Verdana" w:hAnsi="Verdana"/>
                <w:b/>
                <w:bCs/>
              </w:rPr>
            </w:pPr>
            <w:r w:rsidRPr="00A05F99">
              <w:rPr>
                <w:rFonts w:ascii="Verdana" w:hAnsi="Verdana"/>
                <w:b/>
                <w:bCs/>
              </w:rPr>
              <w:t>Formulary Coverage</w:t>
            </w:r>
          </w:p>
        </w:tc>
        <w:tc>
          <w:tcPr>
            <w:tcW w:w="1440" w:type="dxa"/>
          </w:tcPr>
          <w:p w14:paraId="3392FAAB" w14:textId="66DD6409" w:rsidR="004B4A2D" w:rsidRPr="00A05F99" w:rsidRDefault="004B4A2D" w:rsidP="00FB392C">
            <w:pPr>
              <w:spacing w:after="240"/>
              <w:rPr>
                <w:rFonts w:ascii="Verdana" w:hAnsi="Verdana"/>
              </w:rPr>
            </w:pPr>
            <w:r w:rsidRPr="00A05F99">
              <w:rPr>
                <w:rFonts w:ascii="Verdana" w:hAnsi="Verdana"/>
                <w:b/>
                <w:bCs/>
              </w:rPr>
              <w:t>Effective Date</w:t>
            </w:r>
          </w:p>
        </w:tc>
      </w:tr>
      <w:tr w:rsidR="0073594F" w:rsidRPr="00852F8C" w14:paraId="2427BC04" w14:textId="77777777" w:rsidTr="00B727CC">
        <w:tc>
          <w:tcPr>
            <w:tcW w:w="2970" w:type="dxa"/>
          </w:tcPr>
          <w:p w14:paraId="326DCCD2" w14:textId="39CEAB84" w:rsidR="0073594F" w:rsidRPr="00413044" w:rsidRDefault="00081CCE" w:rsidP="0073594F">
            <w:pPr>
              <w:rPr>
                <w:rFonts w:ascii="Verdana" w:hAnsi="Verdana" w:cs="Arial"/>
                <w:bCs/>
              </w:rPr>
            </w:pPr>
            <w:proofErr w:type="spellStart"/>
            <w:r w:rsidRPr="00413044">
              <w:rPr>
                <w:rFonts w:ascii="Verdana" w:hAnsi="Verdana" w:cs="Arial"/>
                <w:bCs/>
              </w:rPr>
              <w:t>Tryptyr</w:t>
            </w:r>
            <w:proofErr w:type="spellEnd"/>
            <w:r w:rsidRPr="00413044">
              <w:rPr>
                <w:rFonts w:ascii="Verdana" w:hAnsi="Verdana" w:cs="Arial"/>
                <w:bCs/>
              </w:rPr>
              <w:t xml:space="preserve"> (</w:t>
            </w:r>
            <w:proofErr w:type="spellStart"/>
            <w:r w:rsidRPr="00413044">
              <w:rPr>
                <w:rFonts w:ascii="Verdana" w:hAnsi="Verdana" w:cs="Arial"/>
                <w:bCs/>
              </w:rPr>
              <w:t>acoltremon</w:t>
            </w:r>
            <w:proofErr w:type="spellEnd"/>
            <w:r w:rsidRPr="00413044">
              <w:rPr>
                <w:rFonts w:ascii="Verdana" w:hAnsi="Verdana" w:cs="Arial"/>
                <w:bCs/>
              </w:rPr>
              <w:t>)</w:t>
            </w:r>
          </w:p>
        </w:tc>
        <w:tc>
          <w:tcPr>
            <w:tcW w:w="3330" w:type="dxa"/>
          </w:tcPr>
          <w:p w14:paraId="39575D0C" w14:textId="7485DA0D" w:rsidR="0073594F" w:rsidRPr="00837406" w:rsidRDefault="00081CCE" w:rsidP="0073594F">
            <w:pPr>
              <w:rPr>
                <w:rFonts w:ascii="Verdana" w:hAnsi="Verdana"/>
                <w:sz w:val="20"/>
                <w:szCs w:val="20"/>
                <w:u w:val="single"/>
              </w:rPr>
            </w:pPr>
            <w:r w:rsidRPr="00716086">
              <w:rPr>
                <w:rFonts w:ascii="Verdana" w:hAnsi="Verdana" w:cstheme="minorHAnsi"/>
                <w:iCs/>
              </w:rPr>
              <w:t>Treatment of the signs and symptoms of dry eye disease (DED)</w:t>
            </w:r>
          </w:p>
        </w:tc>
        <w:tc>
          <w:tcPr>
            <w:tcW w:w="3150" w:type="dxa"/>
          </w:tcPr>
          <w:p w14:paraId="01375115" w14:textId="3816813F" w:rsidR="00C22D05" w:rsidRDefault="00C22D05" w:rsidP="00C22D05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Medicare: </w:t>
            </w:r>
            <w:r w:rsidR="00081CCE">
              <w:rPr>
                <w:rFonts w:ascii="Verdana" w:hAnsi="Verdana"/>
              </w:rPr>
              <w:t>Non-</w:t>
            </w:r>
            <w:r>
              <w:rPr>
                <w:rFonts w:ascii="Verdana" w:hAnsi="Verdana"/>
              </w:rPr>
              <w:t>Formulary</w:t>
            </w:r>
          </w:p>
          <w:p w14:paraId="422E4F79" w14:textId="0BBC720E" w:rsidR="00C22D05" w:rsidRPr="00B727CC" w:rsidRDefault="00C22D05" w:rsidP="00C22D05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Medical Assistance: Non-Formulary</w:t>
            </w:r>
            <w:r>
              <w:rPr>
                <w:rFonts w:ascii="Verdana" w:hAnsi="Verdana"/>
              </w:rPr>
              <w:br/>
              <w:t xml:space="preserve">Exchange: </w:t>
            </w:r>
            <w:r w:rsidR="00081CCE">
              <w:rPr>
                <w:rFonts w:ascii="Verdana" w:hAnsi="Verdana"/>
              </w:rPr>
              <w:t>Non-</w:t>
            </w:r>
            <w:r>
              <w:rPr>
                <w:rFonts w:ascii="Verdana" w:hAnsi="Verdana"/>
              </w:rPr>
              <w:t xml:space="preserve">Formulary </w:t>
            </w:r>
          </w:p>
          <w:p w14:paraId="44B475AE" w14:textId="20D84793" w:rsidR="0073594F" w:rsidRPr="00C22D05" w:rsidRDefault="0073594F" w:rsidP="0073594F"/>
        </w:tc>
        <w:tc>
          <w:tcPr>
            <w:tcW w:w="1440" w:type="dxa"/>
          </w:tcPr>
          <w:p w14:paraId="00B112B8" w14:textId="78B85DD8" w:rsidR="0073594F" w:rsidRPr="00B727CC" w:rsidRDefault="0073594F" w:rsidP="0073594F">
            <w:pPr>
              <w:rPr>
                <w:rFonts w:ascii="Verdana" w:eastAsia="Times New Roman" w:hAnsi="Verdana" w:cs="Arial"/>
              </w:rPr>
            </w:pPr>
            <w:r w:rsidRPr="00B727CC">
              <w:rPr>
                <w:rFonts w:ascii="Verdana" w:eastAsia="Times New Roman" w:hAnsi="Verdana" w:cs="Arial"/>
              </w:rPr>
              <w:t>NA</w:t>
            </w:r>
          </w:p>
        </w:tc>
      </w:tr>
      <w:tr w:rsidR="0073594F" w:rsidRPr="00852F8C" w14:paraId="12F2BC56" w14:textId="77777777" w:rsidTr="00B727CC">
        <w:tc>
          <w:tcPr>
            <w:tcW w:w="2970" w:type="dxa"/>
          </w:tcPr>
          <w:p w14:paraId="2364AE83" w14:textId="5B1023DC" w:rsidR="0073594F" w:rsidRPr="00413044" w:rsidRDefault="00081CCE" w:rsidP="0073594F">
            <w:pPr>
              <w:rPr>
                <w:rFonts w:ascii="Verdana" w:hAnsi="Verdana" w:cs="Arial"/>
                <w:bCs/>
              </w:rPr>
            </w:pPr>
            <w:proofErr w:type="spellStart"/>
            <w:r w:rsidRPr="00413044">
              <w:rPr>
                <w:rFonts w:ascii="Verdana" w:hAnsi="Verdana" w:cs="Arial"/>
                <w:bCs/>
              </w:rPr>
              <w:t>Vanrafia</w:t>
            </w:r>
            <w:proofErr w:type="spellEnd"/>
            <w:r w:rsidRPr="00413044">
              <w:rPr>
                <w:rFonts w:ascii="Verdana" w:hAnsi="Verdana" w:cs="Arial"/>
                <w:bCs/>
              </w:rPr>
              <w:t xml:space="preserve"> (</w:t>
            </w:r>
            <w:proofErr w:type="spellStart"/>
            <w:r w:rsidRPr="00413044">
              <w:rPr>
                <w:rFonts w:ascii="Verdana" w:hAnsi="Verdana" w:cs="Arial"/>
                <w:bCs/>
              </w:rPr>
              <w:t>atrasentan</w:t>
            </w:r>
            <w:proofErr w:type="spellEnd"/>
            <w:r w:rsidRPr="00413044">
              <w:rPr>
                <w:rFonts w:ascii="Verdana" w:hAnsi="Verdana" w:cs="Arial"/>
                <w:bCs/>
              </w:rPr>
              <w:t>)</w:t>
            </w:r>
          </w:p>
        </w:tc>
        <w:tc>
          <w:tcPr>
            <w:tcW w:w="3330" w:type="dxa"/>
          </w:tcPr>
          <w:p w14:paraId="68879A63" w14:textId="76639D6B" w:rsidR="0073594F" w:rsidRPr="005A5771" w:rsidRDefault="00081CCE" w:rsidP="0073594F">
            <w:pPr>
              <w:rPr>
                <w:rFonts w:ascii="Verdana" w:hAnsi="Verdana"/>
                <w:b/>
                <w:u w:val="single"/>
              </w:rPr>
            </w:pPr>
            <w:r w:rsidRPr="00716086">
              <w:rPr>
                <w:rFonts w:ascii="Verdana" w:hAnsi="Verdana" w:cstheme="minorHAnsi"/>
                <w:iCs/>
              </w:rPr>
              <w:t>Reduction of proteinuria in adults with primary immunoglobulin A nephropathy (</w:t>
            </w:r>
            <w:proofErr w:type="spellStart"/>
            <w:r w:rsidRPr="00716086">
              <w:rPr>
                <w:rFonts w:ascii="Verdana" w:hAnsi="Verdana" w:cstheme="minorHAnsi"/>
                <w:iCs/>
              </w:rPr>
              <w:t>IgAN</w:t>
            </w:r>
            <w:proofErr w:type="spellEnd"/>
            <w:r w:rsidRPr="00716086">
              <w:rPr>
                <w:rFonts w:ascii="Verdana" w:hAnsi="Verdana" w:cstheme="minorHAnsi"/>
                <w:iCs/>
              </w:rPr>
              <w:t>) at risk of rapid disease progression, generally a urine protein-to-creatinine ratio (UPCR) ≥ 1.5 g/g.</w:t>
            </w:r>
          </w:p>
        </w:tc>
        <w:tc>
          <w:tcPr>
            <w:tcW w:w="3150" w:type="dxa"/>
          </w:tcPr>
          <w:p w14:paraId="0857226C" w14:textId="77777777" w:rsidR="00081CCE" w:rsidRDefault="00081CCE" w:rsidP="00081CCE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Medicare: Non-Formulary</w:t>
            </w:r>
          </w:p>
          <w:p w14:paraId="11D02CC1" w14:textId="77777777" w:rsidR="00081CCE" w:rsidRPr="00B727CC" w:rsidRDefault="00081CCE" w:rsidP="00081CCE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Medical Assistance: Non-Formulary</w:t>
            </w:r>
            <w:r>
              <w:rPr>
                <w:rFonts w:ascii="Verdana" w:hAnsi="Verdana"/>
              </w:rPr>
              <w:br/>
              <w:t xml:space="preserve">Exchange: Non-Formulary </w:t>
            </w:r>
          </w:p>
          <w:p w14:paraId="38B94024" w14:textId="500FF5A0" w:rsidR="0073594F" w:rsidRPr="00B727CC" w:rsidRDefault="0073594F" w:rsidP="0073594F">
            <w:pPr>
              <w:rPr>
                <w:rFonts w:ascii="Verdana" w:hAnsi="Verdana"/>
              </w:rPr>
            </w:pPr>
          </w:p>
        </w:tc>
        <w:tc>
          <w:tcPr>
            <w:tcW w:w="1440" w:type="dxa"/>
          </w:tcPr>
          <w:p w14:paraId="27DAE0E7" w14:textId="7D393568" w:rsidR="0073594F" w:rsidRPr="00B727CC" w:rsidRDefault="005A5771" w:rsidP="0073594F">
            <w:pPr>
              <w:rPr>
                <w:rFonts w:ascii="Verdana" w:eastAsia="Times New Roman" w:hAnsi="Verdana" w:cs="Arial"/>
              </w:rPr>
            </w:pPr>
            <w:r w:rsidRPr="00B727CC">
              <w:rPr>
                <w:rFonts w:ascii="Verdana" w:eastAsia="Times New Roman" w:hAnsi="Verdana" w:cs="Arial"/>
              </w:rPr>
              <w:t>NA</w:t>
            </w:r>
          </w:p>
        </w:tc>
      </w:tr>
      <w:tr w:rsidR="0073594F" w:rsidRPr="00852F8C" w14:paraId="244883DA" w14:textId="77777777" w:rsidTr="00B727CC">
        <w:tc>
          <w:tcPr>
            <w:tcW w:w="2970" w:type="dxa"/>
          </w:tcPr>
          <w:p w14:paraId="052FEE7C" w14:textId="322FDFF7" w:rsidR="00330E7F" w:rsidRPr="00413044" w:rsidRDefault="00081CCE" w:rsidP="0073594F">
            <w:pPr>
              <w:rPr>
                <w:rFonts w:ascii="Verdana" w:eastAsia="Times New Roman" w:hAnsi="Verdana" w:cs="Arial"/>
                <w:bCs/>
                <w:sz w:val="20"/>
                <w:szCs w:val="20"/>
              </w:rPr>
            </w:pPr>
            <w:proofErr w:type="spellStart"/>
            <w:r w:rsidRPr="00413044">
              <w:rPr>
                <w:rFonts w:ascii="Verdana" w:hAnsi="Verdana" w:cs="Arial"/>
                <w:bCs/>
              </w:rPr>
              <w:t>Vykat</w:t>
            </w:r>
            <w:proofErr w:type="spellEnd"/>
            <w:r w:rsidRPr="00413044">
              <w:rPr>
                <w:rFonts w:ascii="Verdana" w:hAnsi="Verdana" w:cs="Arial"/>
                <w:bCs/>
              </w:rPr>
              <w:t xml:space="preserve"> XR (diazoxide choline)</w:t>
            </w:r>
          </w:p>
        </w:tc>
        <w:tc>
          <w:tcPr>
            <w:tcW w:w="3330" w:type="dxa"/>
          </w:tcPr>
          <w:p w14:paraId="1ADCCA37" w14:textId="4032AE86" w:rsidR="0073594F" w:rsidRPr="00E8257D" w:rsidRDefault="00081CCE" w:rsidP="0073594F">
            <w:pPr>
              <w:rPr>
                <w:rFonts w:ascii="Verdana" w:hAnsi="Verdana" w:cstheme="minorHAnsi"/>
              </w:rPr>
            </w:pPr>
            <w:r w:rsidRPr="00716086">
              <w:rPr>
                <w:rFonts w:ascii="Verdana" w:hAnsi="Verdana"/>
                <w:bCs/>
              </w:rPr>
              <w:t>Treatment of hyperphagia in adults and pediatric patients 4 years of age and older with Prader-Willi syndrome (PWS)</w:t>
            </w:r>
          </w:p>
        </w:tc>
        <w:tc>
          <w:tcPr>
            <w:tcW w:w="3150" w:type="dxa"/>
          </w:tcPr>
          <w:p w14:paraId="3838FBD2" w14:textId="1B734E88" w:rsidR="00C22D05" w:rsidRDefault="00C22D05" w:rsidP="00C22D05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Medicare: Non-Formulary</w:t>
            </w:r>
          </w:p>
          <w:p w14:paraId="7D217416" w14:textId="7FF8DD46" w:rsidR="00C22D05" w:rsidRPr="00B727CC" w:rsidRDefault="00C22D05" w:rsidP="00C22D05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Medical Assistance:  Non-Formulary</w:t>
            </w:r>
            <w:r>
              <w:rPr>
                <w:rFonts w:ascii="Verdana" w:hAnsi="Verdana"/>
              </w:rPr>
              <w:br/>
              <w:t xml:space="preserve">Exchange: Non-Formulary </w:t>
            </w:r>
          </w:p>
          <w:p w14:paraId="34C32304" w14:textId="205CA4AD" w:rsidR="0073594F" w:rsidRPr="00B727CC" w:rsidRDefault="0073594F" w:rsidP="00F11DC6">
            <w:pPr>
              <w:pStyle w:val="NoSpacing"/>
              <w:rPr>
                <w:rFonts w:ascii="Verdana" w:hAnsi="Verdana"/>
              </w:rPr>
            </w:pPr>
          </w:p>
        </w:tc>
        <w:tc>
          <w:tcPr>
            <w:tcW w:w="1440" w:type="dxa"/>
          </w:tcPr>
          <w:p w14:paraId="5CB19907" w14:textId="16C2E00D" w:rsidR="0073594F" w:rsidRPr="00B727CC" w:rsidRDefault="005A5771" w:rsidP="0073594F">
            <w:pPr>
              <w:rPr>
                <w:rFonts w:ascii="Verdana" w:eastAsia="Times New Roman" w:hAnsi="Verdana" w:cs="Arial"/>
              </w:rPr>
            </w:pPr>
            <w:r w:rsidRPr="00B727CC">
              <w:rPr>
                <w:rFonts w:ascii="Verdana" w:eastAsia="Times New Roman" w:hAnsi="Verdana" w:cs="Arial"/>
              </w:rPr>
              <w:t>NA</w:t>
            </w:r>
          </w:p>
        </w:tc>
      </w:tr>
      <w:tr w:rsidR="0073594F" w:rsidRPr="00852F8C" w14:paraId="4EE1C15E" w14:textId="77777777" w:rsidTr="00B727CC">
        <w:tc>
          <w:tcPr>
            <w:tcW w:w="2970" w:type="dxa"/>
          </w:tcPr>
          <w:p w14:paraId="78D228E7" w14:textId="2D23A65D" w:rsidR="00330E7F" w:rsidRPr="00413044" w:rsidRDefault="00081CCE" w:rsidP="0073594F">
            <w:pPr>
              <w:rPr>
                <w:rFonts w:ascii="Verdana" w:eastAsia="Times New Roman" w:hAnsi="Verdana" w:cs="Arial"/>
                <w:bCs/>
                <w:sz w:val="20"/>
                <w:szCs w:val="20"/>
              </w:rPr>
            </w:pPr>
            <w:proofErr w:type="spellStart"/>
            <w:r w:rsidRPr="00413044">
              <w:rPr>
                <w:rFonts w:ascii="Verdana" w:hAnsi="Verdana" w:cs="Arial"/>
                <w:bCs/>
              </w:rPr>
              <w:t>Zelsuvmi</w:t>
            </w:r>
            <w:proofErr w:type="spellEnd"/>
            <w:r w:rsidRPr="00413044">
              <w:rPr>
                <w:rFonts w:ascii="Verdana" w:hAnsi="Verdana" w:cs="Arial"/>
                <w:bCs/>
              </w:rPr>
              <w:t xml:space="preserve"> (</w:t>
            </w:r>
            <w:proofErr w:type="spellStart"/>
            <w:r w:rsidRPr="00413044">
              <w:rPr>
                <w:rFonts w:ascii="Verdana" w:hAnsi="Verdana" w:cs="Arial"/>
                <w:bCs/>
              </w:rPr>
              <w:t>berdazimer</w:t>
            </w:r>
            <w:proofErr w:type="spellEnd"/>
            <w:r w:rsidRPr="00413044">
              <w:rPr>
                <w:rFonts w:ascii="Verdana" w:hAnsi="Verdana" w:cs="Arial"/>
                <w:bCs/>
              </w:rPr>
              <w:t>)</w:t>
            </w:r>
          </w:p>
        </w:tc>
        <w:tc>
          <w:tcPr>
            <w:tcW w:w="3330" w:type="dxa"/>
          </w:tcPr>
          <w:p w14:paraId="2C587109" w14:textId="77777777" w:rsidR="00081CCE" w:rsidRDefault="00081CCE" w:rsidP="00081CCE">
            <w:pPr>
              <w:autoSpaceDE w:val="0"/>
              <w:autoSpaceDN w:val="0"/>
              <w:adjustRightInd w:val="0"/>
              <w:rPr>
                <w:rFonts w:ascii="Verdana" w:hAnsi="Verdana" w:cstheme="minorHAnsi"/>
                <w:iCs/>
              </w:rPr>
            </w:pPr>
            <w:r w:rsidRPr="00716086">
              <w:rPr>
                <w:rFonts w:ascii="Verdana" w:hAnsi="Verdana" w:cstheme="minorHAnsi"/>
                <w:iCs/>
              </w:rPr>
              <w:t xml:space="preserve">Topical treatment of molluscum contagiosum (MC) in adults and pediatric </w:t>
            </w:r>
            <w:r w:rsidRPr="00716086">
              <w:rPr>
                <w:rFonts w:ascii="Verdana" w:hAnsi="Verdana" w:cstheme="minorHAnsi"/>
                <w:iCs/>
              </w:rPr>
              <w:lastRenderedPageBreak/>
              <w:t>patients 1 year of age and older.</w:t>
            </w:r>
          </w:p>
          <w:p w14:paraId="31782812" w14:textId="3F514888" w:rsidR="0073594F" w:rsidRPr="00F6467A" w:rsidRDefault="0073594F" w:rsidP="0073594F">
            <w:pPr>
              <w:rPr>
                <w:rFonts w:ascii="Verdana" w:hAnsi="Verdana"/>
                <w:bCs/>
              </w:rPr>
            </w:pPr>
          </w:p>
        </w:tc>
        <w:tc>
          <w:tcPr>
            <w:tcW w:w="3150" w:type="dxa"/>
          </w:tcPr>
          <w:p w14:paraId="36CC8DEC" w14:textId="77777777" w:rsidR="00C22D05" w:rsidRDefault="00C22D05" w:rsidP="00C22D05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lastRenderedPageBreak/>
              <w:t>Medicare: Non-Formulary</w:t>
            </w:r>
          </w:p>
          <w:p w14:paraId="606D687B" w14:textId="77777777" w:rsidR="00C22D05" w:rsidRPr="00B727CC" w:rsidRDefault="00C22D05" w:rsidP="00C22D05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Medical Assistance:  Non-Formulary</w:t>
            </w:r>
            <w:r>
              <w:rPr>
                <w:rFonts w:ascii="Verdana" w:hAnsi="Verdana"/>
              </w:rPr>
              <w:br/>
              <w:t xml:space="preserve">Exchange: Non-Formulary </w:t>
            </w:r>
          </w:p>
          <w:p w14:paraId="69A601A5" w14:textId="77777777" w:rsidR="0073594F" w:rsidRPr="00B727CC" w:rsidRDefault="0073594F" w:rsidP="00F11DC6">
            <w:pPr>
              <w:pStyle w:val="NoSpacing"/>
              <w:rPr>
                <w:rFonts w:ascii="Verdana" w:hAnsi="Verdana"/>
              </w:rPr>
            </w:pPr>
          </w:p>
        </w:tc>
        <w:tc>
          <w:tcPr>
            <w:tcW w:w="1440" w:type="dxa"/>
          </w:tcPr>
          <w:p w14:paraId="2099FF3E" w14:textId="4D1A2392" w:rsidR="0073594F" w:rsidRPr="00B727CC" w:rsidRDefault="005A5771" w:rsidP="0073594F">
            <w:pPr>
              <w:rPr>
                <w:rFonts w:ascii="Verdana" w:hAnsi="Verdana"/>
              </w:rPr>
            </w:pPr>
            <w:r w:rsidRPr="00B727CC">
              <w:rPr>
                <w:rFonts w:ascii="Verdana" w:eastAsia="Times New Roman" w:hAnsi="Verdana" w:cs="Arial"/>
              </w:rPr>
              <w:lastRenderedPageBreak/>
              <w:t>NA</w:t>
            </w:r>
          </w:p>
        </w:tc>
      </w:tr>
      <w:tr w:rsidR="003E5867" w:rsidRPr="00852F8C" w14:paraId="20D0C506" w14:textId="77777777" w:rsidTr="00B727CC">
        <w:tc>
          <w:tcPr>
            <w:tcW w:w="2970" w:type="dxa"/>
          </w:tcPr>
          <w:p w14:paraId="07089E0F" w14:textId="2ED6CB1A" w:rsidR="005A5771" w:rsidRPr="00413044" w:rsidRDefault="00C22D05" w:rsidP="00E8257D">
            <w:pPr>
              <w:rPr>
                <w:rFonts w:ascii="Verdana" w:hAnsi="Verdana"/>
                <w:bCs/>
                <w:sz w:val="20"/>
                <w:szCs w:val="20"/>
              </w:rPr>
            </w:pPr>
            <w:proofErr w:type="spellStart"/>
            <w:r w:rsidRPr="00413044">
              <w:rPr>
                <w:rFonts w:ascii="Verdana" w:hAnsi="Verdana" w:cs="Arial"/>
                <w:bCs/>
              </w:rPr>
              <w:t>Crenessity</w:t>
            </w:r>
            <w:proofErr w:type="spellEnd"/>
            <w:r w:rsidRPr="00413044">
              <w:rPr>
                <w:rFonts w:ascii="Verdana" w:hAnsi="Verdana" w:cs="Arial"/>
                <w:bCs/>
              </w:rPr>
              <w:t xml:space="preserve"> (</w:t>
            </w:r>
            <w:proofErr w:type="spellStart"/>
            <w:r w:rsidRPr="00413044">
              <w:rPr>
                <w:rFonts w:ascii="Verdana" w:hAnsi="Verdana" w:cs="Arial"/>
                <w:bCs/>
              </w:rPr>
              <w:t>crinecerfont</w:t>
            </w:r>
            <w:proofErr w:type="spellEnd"/>
            <w:r w:rsidRPr="00413044">
              <w:rPr>
                <w:rFonts w:ascii="Verdana" w:hAnsi="Verdana" w:cs="Arial"/>
                <w:bCs/>
              </w:rPr>
              <w:t>)</w:t>
            </w:r>
          </w:p>
        </w:tc>
        <w:tc>
          <w:tcPr>
            <w:tcW w:w="3330" w:type="dxa"/>
          </w:tcPr>
          <w:p w14:paraId="70A454CD" w14:textId="0EC148B0" w:rsidR="003E5867" w:rsidRPr="00B01345" w:rsidRDefault="001F115A" w:rsidP="003E5867">
            <w:pPr>
              <w:rPr>
                <w:rFonts w:ascii="Verdana" w:hAnsi="Verdana" w:cstheme="minorHAnsi"/>
                <w:sz w:val="20"/>
                <w:szCs w:val="20"/>
              </w:rPr>
            </w:pPr>
            <w:r w:rsidRPr="00F81C14">
              <w:rPr>
                <w:rFonts w:ascii="Verdana" w:hAnsi="Verdana"/>
                <w:bCs/>
              </w:rPr>
              <w:t>adjunct treatment to glucocorticoid (GC) replacement in adults and pediatrics 4 years and older with classic congenital adrenal hyperplasia (CAH)</w:t>
            </w:r>
          </w:p>
        </w:tc>
        <w:tc>
          <w:tcPr>
            <w:tcW w:w="3150" w:type="dxa"/>
          </w:tcPr>
          <w:p w14:paraId="1D8D0B65" w14:textId="77777777" w:rsidR="001F115A" w:rsidRDefault="001F115A" w:rsidP="001F115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Medicare: Non-Formulary</w:t>
            </w:r>
          </w:p>
          <w:p w14:paraId="46FAD7A4" w14:textId="77777777" w:rsidR="001F115A" w:rsidRPr="00B727CC" w:rsidRDefault="001F115A" w:rsidP="001F115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Medical Assistance:  Non-Formulary</w:t>
            </w:r>
            <w:r>
              <w:rPr>
                <w:rFonts w:ascii="Verdana" w:hAnsi="Verdana"/>
              </w:rPr>
              <w:br/>
              <w:t xml:space="preserve">Exchange: Non-Formulary </w:t>
            </w:r>
          </w:p>
          <w:p w14:paraId="6B5634E1" w14:textId="0F25ADA5" w:rsidR="003E5867" w:rsidRPr="00B727CC" w:rsidRDefault="003E5867" w:rsidP="00F11DC6">
            <w:pPr>
              <w:pStyle w:val="NoSpacing"/>
              <w:rPr>
                <w:rFonts w:ascii="Verdana" w:hAnsi="Verdana"/>
              </w:rPr>
            </w:pPr>
          </w:p>
        </w:tc>
        <w:tc>
          <w:tcPr>
            <w:tcW w:w="1440" w:type="dxa"/>
          </w:tcPr>
          <w:p w14:paraId="6537980B" w14:textId="7ED37180" w:rsidR="003E5867" w:rsidRPr="00B727CC" w:rsidRDefault="005A5771" w:rsidP="003E5867">
            <w:pPr>
              <w:rPr>
                <w:rFonts w:ascii="Verdana" w:hAnsi="Verdana"/>
              </w:rPr>
            </w:pPr>
            <w:r w:rsidRPr="00B727CC">
              <w:rPr>
                <w:rFonts w:ascii="Verdana" w:eastAsia="Times New Roman" w:hAnsi="Verdana" w:cs="Arial"/>
              </w:rPr>
              <w:t>NA</w:t>
            </w:r>
          </w:p>
        </w:tc>
      </w:tr>
      <w:tr w:rsidR="005A5771" w:rsidRPr="00852F8C" w14:paraId="2F8EE3BE" w14:textId="77777777" w:rsidTr="00B727CC">
        <w:tc>
          <w:tcPr>
            <w:tcW w:w="2970" w:type="dxa"/>
          </w:tcPr>
          <w:p w14:paraId="54A24F44" w14:textId="074AC088" w:rsidR="005A5771" w:rsidRPr="00413044" w:rsidRDefault="00081CCE" w:rsidP="003E5867">
            <w:pPr>
              <w:rPr>
                <w:rFonts w:ascii="Verdana" w:hAnsi="Verdana" w:cs="Arial"/>
                <w:bCs/>
              </w:rPr>
            </w:pPr>
            <w:proofErr w:type="spellStart"/>
            <w:r w:rsidRPr="00413044">
              <w:rPr>
                <w:rFonts w:ascii="Verdana" w:hAnsi="Verdana" w:cs="Arial"/>
                <w:bCs/>
              </w:rPr>
              <w:t>Avmapki</w:t>
            </w:r>
            <w:proofErr w:type="spellEnd"/>
            <w:r w:rsidRPr="00413044">
              <w:rPr>
                <w:rFonts w:ascii="Verdana" w:hAnsi="Verdana" w:cs="Arial"/>
                <w:bCs/>
              </w:rPr>
              <w:t xml:space="preserve"> </w:t>
            </w:r>
            <w:proofErr w:type="spellStart"/>
            <w:r w:rsidRPr="00413044">
              <w:rPr>
                <w:rFonts w:ascii="Verdana" w:hAnsi="Verdana" w:cs="Arial"/>
                <w:bCs/>
              </w:rPr>
              <w:t>Fakzynja</w:t>
            </w:r>
            <w:proofErr w:type="spellEnd"/>
            <w:r w:rsidRPr="00413044">
              <w:rPr>
                <w:rFonts w:ascii="Verdana" w:hAnsi="Verdana" w:cs="Arial"/>
                <w:bCs/>
              </w:rPr>
              <w:t xml:space="preserve"> (</w:t>
            </w:r>
            <w:proofErr w:type="spellStart"/>
            <w:r w:rsidRPr="00413044">
              <w:rPr>
                <w:rFonts w:ascii="Verdana" w:hAnsi="Verdana" w:cs="Arial"/>
                <w:bCs/>
              </w:rPr>
              <w:t>avutometinib</w:t>
            </w:r>
            <w:proofErr w:type="spellEnd"/>
            <w:r w:rsidRPr="00413044">
              <w:rPr>
                <w:rFonts w:ascii="Verdana" w:hAnsi="Verdana" w:cs="Arial"/>
                <w:bCs/>
              </w:rPr>
              <w:t>/</w:t>
            </w:r>
            <w:proofErr w:type="spellStart"/>
            <w:r w:rsidRPr="00413044">
              <w:rPr>
                <w:rFonts w:ascii="Verdana" w:hAnsi="Verdana" w:cs="Arial"/>
                <w:bCs/>
              </w:rPr>
              <w:t>defactinib</w:t>
            </w:r>
            <w:proofErr w:type="spellEnd"/>
            <w:r w:rsidRPr="00413044">
              <w:rPr>
                <w:rFonts w:ascii="Verdana" w:hAnsi="Verdana" w:cs="Arial"/>
                <w:bCs/>
              </w:rPr>
              <w:t xml:space="preserve">) </w:t>
            </w:r>
            <w:r w:rsidRPr="00413044">
              <w:rPr>
                <w:rFonts w:ascii="Verdana" w:hAnsi="Verdana" w:cs="Arial"/>
                <w:bCs/>
                <w:color w:val="FF0000"/>
              </w:rPr>
              <w:t>Protected Class</w:t>
            </w:r>
          </w:p>
        </w:tc>
        <w:tc>
          <w:tcPr>
            <w:tcW w:w="3330" w:type="dxa"/>
          </w:tcPr>
          <w:p w14:paraId="1C6C55D7" w14:textId="77777777" w:rsidR="00081CCE" w:rsidRPr="00716086" w:rsidRDefault="00081CCE" w:rsidP="00081CCE">
            <w:pPr>
              <w:autoSpaceDE w:val="0"/>
              <w:autoSpaceDN w:val="0"/>
              <w:adjustRightInd w:val="0"/>
              <w:rPr>
                <w:rFonts w:ascii="Verdana" w:hAnsi="Verdana" w:cstheme="minorHAnsi"/>
                <w:iCs/>
              </w:rPr>
            </w:pPr>
            <w:r w:rsidRPr="00716086">
              <w:rPr>
                <w:rFonts w:ascii="Verdana" w:hAnsi="Verdana" w:cstheme="minorHAnsi"/>
                <w:iCs/>
              </w:rPr>
              <w:t>Treatment of adults with KRAS-mutated recurrent low-grade serous ovarian cancer (LGSOC) who have received prior systemic therapy</w:t>
            </w:r>
          </w:p>
          <w:p w14:paraId="71C7D3DE" w14:textId="5842F98C" w:rsidR="005A5771" w:rsidRDefault="005A5771" w:rsidP="003E5867">
            <w:pPr>
              <w:rPr>
                <w:rFonts w:ascii="Verdana" w:hAnsi="Verdana"/>
              </w:rPr>
            </w:pPr>
          </w:p>
        </w:tc>
        <w:tc>
          <w:tcPr>
            <w:tcW w:w="3150" w:type="dxa"/>
          </w:tcPr>
          <w:p w14:paraId="3B2867CE" w14:textId="128C02C1" w:rsidR="00C22D05" w:rsidRDefault="00C22D05" w:rsidP="00C22D05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Medicare: Formulary</w:t>
            </w:r>
            <w:r w:rsidR="001F115A">
              <w:rPr>
                <w:rFonts w:ascii="Verdana" w:hAnsi="Verdana"/>
              </w:rPr>
              <w:t xml:space="preserve"> w/PA</w:t>
            </w:r>
          </w:p>
          <w:p w14:paraId="182312BE" w14:textId="0D3F635E" w:rsidR="00C22D05" w:rsidRPr="00B727CC" w:rsidRDefault="00C22D05" w:rsidP="00C22D05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Medical Assistance: Formulary</w:t>
            </w:r>
            <w:r w:rsidR="001F115A">
              <w:rPr>
                <w:rFonts w:ascii="Verdana" w:hAnsi="Verdana"/>
              </w:rPr>
              <w:t xml:space="preserve"> w/PA</w:t>
            </w:r>
            <w:r>
              <w:rPr>
                <w:rFonts w:ascii="Verdana" w:hAnsi="Verdana"/>
              </w:rPr>
              <w:br/>
              <w:t>Exchange: Formulary</w:t>
            </w:r>
            <w:r w:rsidR="001F115A">
              <w:rPr>
                <w:rFonts w:ascii="Verdana" w:hAnsi="Verdana"/>
              </w:rPr>
              <w:t xml:space="preserve"> w/PA</w:t>
            </w:r>
          </w:p>
          <w:p w14:paraId="1A17E8A2" w14:textId="74E7C6B7" w:rsidR="005A5771" w:rsidRPr="00B727CC" w:rsidRDefault="005A5771" w:rsidP="00F11DC6">
            <w:pPr>
              <w:pStyle w:val="NoSpacing"/>
              <w:rPr>
                <w:rFonts w:ascii="Verdana" w:hAnsi="Verdana"/>
              </w:rPr>
            </w:pPr>
          </w:p>
        </w:tc>
        <w:tc>
          <w:tcPr>
            <w:tcW w:w="1440" w:type="dxa"/>
          </w:tcPr>
          <w:p w14:paraId="2244416E" w14:textId="13238005" w:rsidR="005A5771" w:rsidRPr="00B727CC" w:rsidRDefault="005A5771" w:rsidP="003E5867">
            <w:pPr>
              <w:rPr>
                <w:rFonts w:ascii="Verdana" w:eastAsia="Times New Roman" w:hAnsi="Verdana" w:cs="Arial"/>
              </w:rPr>
            </w:pPr>
            <w:r w:rsidRPr="00B727CC">
              <w:rPr>
                <w:rFonts w:ascii="Verdana" w:eastAsia="Times New Roman" w:hAnsi="Verdana" w:cs="Arial"/>
              </w:rPr>
              <w:t>NA</w:t>
            </w:r>
          </w:p>
        </w:tc>
      </w:tr>
      <w:tr w:rsidR="005A5771" w:rsidRPr="00852F8C" w14:paraId="4D100F37" w14:textId="77777777" w:rsidTr="00B727CC">
        <w:tc>
          <w:tcPr>
            <w:tcW w:w="2970" w:type="dxa"/>
          </w:tcPr>
          <w:p w14:paraId="1B0CC099" w14:textId="2D511975" w:rsidR="005A5771" w:rsidRPr="00413044" w:rsidRDefault="00081CCE" w:rsidP="00E8257D">
            <w:pPr>
              <w:pStyle w:val="Standard1"/>
              <w:spacing w:before="0" w:after="0"/>
              <w:rPr>
                <w:rFonts w:ascii="Verdana" w:eastAsiaTheme="minorHAnsi" w:hAnsi="Verdana" w:cs="Arial"/>
                <w:bCs/>
                <w:sz w:val="22"/>
                <w:szCs w:val="22"/>
              </w:rPr>
            </w:pPr>
            <w:proofErr w:type="spellStart"/>
            <w:r w:rsidRPr="00413044">
              <w:rPr>
                <w:rFonts w:ascii="Verdana" w:hAnsi="Verdana" w:cs="Arial"/>
                <w:bCs/>
                <w:sz w:val="22"/>
                <w:szCs w:val="22"/>
              </w:rPr>
              <w:t>Romvimza</w:t>
            </w:r>
            <w:proofErr w:type="spellEnd"/>
            <w:r w:rsidRPr="00413044">
              <w:rPr>
                <w:rFonts w:ascii="Verdana" w:hAnsi="Verdana" w:cs="Arial"/>
                <w:bCs/>
                <w:sz w:val="22"/>
                <w:szCs w:val="22"/>
              </w:rPr>
              <w:t xml:space="preserve"> (</w:t>
            </w:r>
            <w:proofErr w:type="spellStart"/>
            <w:r w:rsidRPr="00413044">
              <w:rPr>
                <w:rFonts w:ascii="Verdana" w:hAnsi="Verdana" w:cs="Arial"/>
                <w:bCs/>
                <w:sz w:val="22"/>
                <w:szCs w:val="22"/>
              </w:rPr>
              <w:t>vimseltinib</w:t>
            </w:r>
            <w:proofErr w:type="spellEnd"/>
            <w:r w:rsidRPr="00413044">
              <w:rPr>
                <w:rFonts w:ascii="Verdana" w:hAnsi="Verdana" w:cs="Arial"/>
                <w:bCs/>
                <w:sz w:val="22"/>
                <w:szCs w:val="22"/>
              </w:rPr>
              <w:t xml:space="preserve">) </w:t>
            </w:r>
            <w:r w:rsidRPr="00413044">
              <w:rPr>
                <w:rFonts w:ascii="Verdana" w:hAnsi="Verdana" w:cs="Arial"/>
                <w:bCs/>
                <w:color w:val="FF0000"/>
                <w:sz w:val="22"/>
                <w:szCs w:val="22"/>
              </w:rPr>
              <w:t>Protected Class</w:t>
            </w:r>
          </w:p>
        </w:tc>
        <w:tc>
          <w:tcPr>
            <w:tcW w:w="3330" w:type="dxa"/>
          </w:tcPr>
          <w:p w14:paraId="53456F38" w14:textId="43A4D7CA" w:rsidR="005A5771" w:rsidRDefault="00081CCE" w:rsidP="003E5867">
            <w:pPr>
              <w:rPr>
                <w:rFonts w:ascii="Verdana" w:hAnsi="Verdana"/>
              </w:rPr>
            </w:pPr>
            <w:r w:rsidRPr="00716086">
              <w:rPr>
                <w:rFonts w:ascii="Verdana" w:hAnsi="Verdana" w:cstheme="minorHAnsi"/>
                <w:iCs/>
              </w:rPr>
              <w:t>Treatment of adults with KRAS-mutated recurrent low-grade serous ovarian cancer (LGSOC) who have received prior systemic therapy</w:t>
            </w:r>
          </w:p>
        </w:tc>
        <w:tc>
          <w:tcPr>
            <w:tcW w:w="3150" w:type="dxa"/>
          </w:tcPr>
          <w:p w14:paraId="24180AAA" w14:textId="77777777" w:rsidR="00081CCE" w:rsidRDefault="00081CCE" w:rsidP="00081CCE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Medicare: Formulary w/PA</w:t>
            </w:r>
          </w:p>
          <w:p w14:paraId="495DDBAC" w14:textId="77777777" w:rsidR="00081CCE" w:rsidRPr="00B727CC" w:rsidRDefault="00081CCE" w:rsidP="00081CCE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Medical Assistance: Formulary w/PA</w:t>
            </w:r>
            <w:r>
              <w:rPr>
                <w:rFonts w:ascii="Verdana" w:hAnsi="Verdana"/>
              </w:rPr>
              <w:br/>
              <w:t>Exchange: Formulary w/PA</w:t>
            </w:r>
          </w:p>
          <w:p w14:paraId="29C895AE" w14:textId="77777777" w:rsidR="005A5771" w:rsidRPr="00B727CC" w:rsidRDefault="005A5771" w:rsidP="00F11DC6">
            <w:pPr>
              <w:pStyle w:val="NoSpacing"/>
              <w:rPr>
                <w:rFonts w:ascii="Verdana" w:hAnsi="Verdana"/>
              </w:rPr>
            </w:pPr>
          </w:p>
        </w:tc>
        <w:tc>
          <w:tcPr>
            <w:tcW w:w="1440" w:type="dxa"/>
          </w:tcPr>
          <w:p w14:paraId="0F2301FD" w14:textId="53F2EC19" w:rsidR="005A5771" w:rsidRPr="00B727CC" w:rsidRDefault="005A5771" w:rsidP="003E5867">
            <w:pPr>
              <w:rPr>
                <w:rFonts w:ascii="Verdana" w:eastAsia="Times New Roman" w:hAnsi="Verdana" w:cs="Arial"/>
              </w:rPr>
            </w:pPr>
            <w:r w:rsidRPr="00B727CC">
              <w:rPr>
                <w:rFonts w:ascii="Verdana" w:eastAsia="Times New Roman" w:hAnsi="Verdana" w:cs="Arial"/>
              </w:rPr>
              <w:t>NA</w:t>
            </w:r>
          </w:p>
        </w:tc>
      </w:tr>
      <w:tr w:rsidR="00F11DC6" w:rsidRPr="00852F8C" w14:paraId="50E5AF6C" w14:textId="77777777" w:rsidTr="00B727CC">
        <w:tc>
          <w:tcPr>
            <w:tcW w:w="2970" w:type="dxa"/>
          </w:tcPr>
          <w:p w14:paraId="0BC64517" w14:textId="50D9296E" w:rsidR="00F11DC6" w:rsidRPr="00413044" w:rsidRDefault="00081CCE" w:rsidP="00E8257D">
            <w:pPr>
              <w:pStyle w:val="Standard1"/>
              <w:spacing w:before="0" w:after="0"/>
              <w:rPr>
                <w:rFonts w:ascii="Verdana" w:hAnsi="Verdana" w:cs="Arial"/>
                <w:bCs/>
              </w:rPr>
            </w:pPr>
            <w:proofErr w:type="spellStart"/>
            <w:r w:rsidRPr="00413044">
              <w:rPr>
                <w:rFonts w:ascii="Verdana" w:hAnsi="Verdana" w:cs="Arial"/>
                <w:bCs/>
                <w:sz w:val="22"/>
                <w:szCs w:val="22"/>
              </w:rPr>
              <w:t>Gomekli</w:t>
            </w:r>
            <w:proofErr w:type="spellEnd"/>
            <w:r w:rsidRPr="00413044">
              <w:rPr>
                <w:rFonts w:ascii="Verdana" w:hAnsi="Verdana" w:cs="Arial"/>
                <w:bCs/>
                <w:sz w:val="22"/>
                <w:szCs w:val="22"/>
              </w:rPr>
              <w:t xml:space="preserve"> (</w:t>
            </w:r>
            <w:proofErr w:type="spellStart"/>
            <w:r w:rsidRPr="00413044">
              <w:rPr>
                <w:rFonts w:ascii="Verdana" w:hAnsi="Verdana" w:cs="Arial"/>
                <w:bCs/>
                <w:sz w:val="22"/>
                <w:szCs w:val="22"/>
              </w:rPr>
              <w:t>mirdametinib</w:t>
            </w:r>
            <w:proofErr w:type="spellEnd"/>
            <w:r w:rsidRPr="00413044">
              <w:rPr>
                <w:rFonts w:ascii="Verdana" w:hAnsi="Verdana" w:cs="Arial"/>
                <w:bCs/>
                <w:sz w:val="22"/>
                <w:szCs w:val="22"/>
              </w:rPr>
              <w:t xml:space="preserve">) </w:t>
            </w:r>
            <w:r w:rsidRPr="00413044">
              <w:rPr>
                <w:rFonts w:ascii="Verdana" w:hAnsi="Verdana" w:cs="Arial"/>
                <w:bCs/>
                <w:color w:val="FF0000"/>
                <w:sz w:val="22"/>
                <w:szCs w:val="22"/>
              </w:rPr>
              <w:t>Protected Class</w:t>
            </w:r>
          </w:p>
        </w:tc>
        <w:tc>
          <w:tcPr>
            <w:tcW w:w="3330" w:type="dxa"/>
          </w:tcPr>
          <w:p w14:paraId="0B2EF1B6" w14:textId="77777777" w:rsidR="00081CCE" w:rsidRPr="00AB1A50" w:rsidRDefault="00081CCE" w:rsidP="00081CCE">
            <w:pPr>
              <w:autoSpaceDE w:val="0"/>
              <w:autoSpaceDN w:val="0"/>
              <w:adjustRightInd w:val="0"/>
              <w:rPr>
                <w:rFonts w:ascii="Verdana" w:hAnsi="Verdana" w:cstheme="minorHAnsi"/>
                <w:iCs/>
              </w:rPr>
            </w:pPr>
            <w:r w:rsidRPr="00AB1A50">
              <w:rPr>
                <w:rFonts w:ascii="Verdana" w:hAnsi="Verdana" w:cstheme="minorHAnsi"/>
                <w:iCs/>
              </w:rPr>
              <w:t>Treatment of adult and pediatric patients aged = 2 years with neurofibromatosis type 1 (NF1) who have symptomatic plexiform neurofibromas (PN) not amenable to complete resection.</w:t>
            </w:r>
          </w:p>
          <w:p w14:paraId="50554C1C" w14:textId="615B6B44" w:rsidR="00F11DC6" w:rsidRDefault="00F11DC6" w:rsidP="003E5867">
            <w:pPr>
              <w:rPr>
                <w:rFonts w:ascii="Verdana" w:hAnsi="Verdana"/>
              </w:rPr>
            </w:pPr>
          </w:p>
        </w:tc>
        <w:tc>
          <w:tcPr>
            <w:tcW w:w="3150" w:type="dxa"/>
          </w:tcPr>
          <w:p w14:paraId="70BA54CB" w14:textId="77777777" w:rsidR="00081CCE" w:rsidRDefault="00081CCE" w:rsidP="00081CCE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Medicare: Formulary w/PA</w:t>
            </w:r>
          </w:p>
          <w:p w14:paraId="3753D4AD" w14:textId="77777777" w:rsidR="00081CCE" w:rsidRPr="00B727CC" w:rsidRDefault="00081CCE" w:rsidP="00081CCE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Medical Assistance: Formulary w/PA</w:t>
            </w:r>
            <w:r>
              <w:rPr>
                <w:rFonts w:ascii="Verdana" w:hAnsi="Verdana"/>
              </w:rPr>
              <w:br/>
              <w:t>Exchange: Formulary w/PA</w:t>
            </w:r>
          </w:p>
          <w:p w14:paraId="7355B652" w14:textId="691FC034" w:rsidR="00F11DC6" w:rsidRPr="00B727CC" w:rsidRDefault="00F11DC6" w:rsidP="00F11DC6">
            <w:pPr>
              <w:pStyle w:val="NoSpacing"/>
              <w:rPr>
                <w:rFonts w:ascii="Verdana" w:hAnsi="Verdana"/>
              </w:rPr>
            </w:pPr>
          </w:p>
        </w:tc>
        <w:tc>
          <w:tcPr>
            <w:tcW w:w="1440" w:type="dxa"/>
          </w:tcPr>
          <w:p w14:paraId="3A405410" w14:textId="5449E0C6" w:rsidR="00F11DC6" w:rsidRPr="00B727CC" w:rsidRDefault="00021C33" w:rsidP="003E5867">
            <w:pPr>
              <w:rPr>
                <w:rFonts w:ascii="Verdana" w:eastAsia="Times New Roman" w:hAnsi="Verdana" w:cs="Arial"/>
              </w:rPr>
            </w:pPr>
            <w:r>
              <w:rPr>
                <w:rFonts w:ascii="Verdana" w:eastAsia="Times New Roman" w:hAnsi="Verdana" w:cs="Arial"/>
              </w:rPr>
              <w:t>NA</w:t>
            </w:r>
          </w:p>
        </w:tc>
      </w:tr>
      <w:tr w:rsidR="00081CCE" w:rsidRPr="00852F8C" w14:paraId="0519EF15" w14:textId="77777777" w:rsidTr="00B727CC">
        <w:tc>
          <w:tcPr>
            <w:tcW w:w="2970" w:type="dxa"/>
          </w:tcPr>
          <w:p w14:paraId="19AB4266" w14:textId="3F8B13FE" w:rsidR="00081CCE" w:rsidRPr="00413044" w:rsidRDefault="00081CCE" w:rsidP="00E8257D">
            <w:pPr>
              <w:pStyle w:val="Standard1"/>
              <w:spacing w:before="0" w:after="0"/>
              <w:rPr>
                <w:rFonts w:ascii="Verdana" w:hAnsi="Verdana" w:cs="Arial"/>
                <w:bCs/>
                <w:sz w:val="22"/>
                <w:szCs w:val="22"/>
              </w:rPr>
            </w:pPr>
            <w:proofErr w:type="spellStart"/>
            <w:r w:rsidRPr="00413044">
              <w:rPr>
                <w:rFonts w:ascii="Verdana" w:hAnsi="Verdana" w:cs="Arial"/>
                <w:bCs/>
                <w:sz w:val="22"/>
                <w:szCs w:val="22"/>
              </w:rPr>
              <w:t>Ibtrozi</w:t>
            </w:r>
            <w:proofErr w:type="spellEnd"/>
            <w:r w:rsidRPr="00413044">
              <w:rPr>
                <w:rFonts w:ascii="Verdana" w:hAnsi="Verdana" w:cs="Arial"/>
                <w:bCs/>
                <w:sz w:val="22"/>
                <w:szCs w:val="22"/>
              </w:rPr>
              <w:t xml:space="preserve"> (</w:t>
            </w:r>
            <w:proofErr w:type="spellStart"/>
            <w:r w:rsidRPr="00413044">
              <w:rPr>
                <w:rFonts w:ascii="Verdana" w:hAnsi="Verdana" w:cs="Arial"/>
                <w:bCs/>
                <w:sz w:val="22"/>
                <w:szCs w:val="22"/>
              </w:rPr>
              <w:t>taletrectinib</w:t>
            </w:r>
            <w:proofErr w:type="spellEnd"/>
            <w:r w:rsidRPr="00413044">
              <w:rPr>
                <w:rFonts w:ascii="Verdana" w:hAnsi="Verdana" w:cs="Arial"/>
                <w:bCs/>
                <w:sz w:val="22"/>
                <w:szCs w:val="22"/>
              </w:rPr>
              <w:t xml:space="preserve">) </w:t>
            </w:r>
            <w:r w:rsidRPr="00413044">
              <w:rPr>
                <w:rFonts w:ascii="Verdana" w:hAnsi="Verdana" w:cs="Arial"/>
                <w:bCs/>
                <w:color w:val="FF0000"/>
                <w:sz w:val="22"/>
                <w:szCs w:val="22"/>
              </w:rPr>
              <w:t>Protected Class</w:t>
            </w:r>
          </w:p>
        </w:tc>
        <w:tc>
          <w:tcPr>
            <w:tcW w:w="3330" w:type="dxa"/>
          </w:tcPr>
          <w:p w14:paraId="60B288E4" w14:textId="77777777" w:rsidR="00081CCE" w:rsidRPr="00AB1A50" w:rsidRDefault="00081CCE" w:rsidP="00081CCE">
            <w:pPr>
              <w:autoSpaceDE w:val="0"/>
              <w:autoSpaceDN w:val="0"/>
              <w:adjustRightInd w:val="0"/>
              <w:rPr>
                <w:rFonts w:ascii="Verdana" w:hAnsi="Verdana" w:cstheme="minorHAnsi"/>
                <w:iCs/>
              </w:rPr>
            </w:pPr>
            <w:r w:rsidRPr="00AB1A50">
              <w:rPr>
                <w:rFonts w:ascii="Verdana" w:hAnsi="Verdana" w:cstheme="minorHAnsi"/>
                <w:iCs/>
              </w:rPr>
              <w:t>Adults with locally advanced or metastatic ROS1+ non-small cell lung cancer (NSCLC)</w:t>
            </w:r>
          </w:p>
          <w:p w14:paraId="5A1EF1A9" w14:textId="77777777" w:rsidR="00081CCE" w:rsidRPr="00AB1A50" w:rsidRDefault="00081CCE" w:rsidP="00081CCE">
            <w:pPr>
              <w:autoSpaceDE w:val="0"/>
              <w:autoSpaceDN w:val="0"/>
              <w:adjustRightInd w:val="0"/>
              <w:rPr>
                <w:rFonts w:ascii="Verdana" w:hAnsi="Verdana" w:cstheme="minorHAnsi"/>
                <w:iCs/>
              </w:rPr>
            </w:pPr>
          </w:p>
        </w:tc>
        <w:tc>
          <w:tcPr>
            <w:tcW w:w="3150" w:type="dxa"/>
          </w:tcPr>
          <w:p w14:paraId="1531EBDB" w14:textId="77777777" w:rsidR="00081CCE" w:rsidRDefault="00081CCE" w:rsidP="00081CCE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Medicare: Formulary w/PA</w:t>
            </w:r>
          </w:p>
          <w:p w14:paraId="3731DC3E" w14:textId="77777777" w:rsidR="00081CCE" w:rsidRPr="00B727CC" w:rsidRDefault="00081CCE" w:rsidP="00081CCE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Medical Assistance: Formulary w/PA</w:t>
            </w:r>
            <w:r>
              <w:rPr>
                <w:rFonts w:ascii="Verdana" w:hAnsi="Verdana"/>
              </w:rPr>
              <w:br/>
              <w:t>Exchange: Formulary w/PA</w:t>
            </w:r>
          </w:p>
          <w:p w14:paraId="7029B97B" w14:textId="77777777" w:rsidR="00081CCE" w:rsidRDefault="00081CCE" w:rsidP="00081CCE">
            <w:pPr>
              <w:rPr>
                <w:rFonts w:ascii="Verdana" w:hAnsi="Verdana"/>
              </w:rPr>
            </w:pPr>
          </w:p>
        </w:tc>
        <w:tc>
          <w:tcPr>
            <w:tcW w:w="1440" w:type="dxa"/>
          </w:tcPr>
          <w:p w14:paraId="0BBDA2C4" w14:textId="04773851" w:rsidR="00081CCE" w:rsidRDefault="00081CCE" w:rsidP="003E5867">
            <w:pPr>
              <w:rPr>
                <w:rFonts w:ascii="Verdana" w:eastAsia="Times New Roman" w:hAnsi="Verdana" w:cs="Arial"/>
              </w:rPr>
            </w:pPr>
            <w:r>
              <w:rPr>
                <w:rFonts w:ascii="Verdana" w:eastAsia="Times New Roman" w:hAnsi="Verdana" w:cs="Arial"/>
              </w:rPr>
              <w:t>NA</w:t>
            </w:r>
          </w:p>
        </w:tc>
      </w:tr>
    </w:tbl>
    <w:p w14:paraId="30725D2E" w14:textId="2E6D7891" w:rsidR="00C36463" w:rsidRPr="00852F8C" w:rsidRDefault="00C36463">
      <w:pPr>
        <w:spacing w:line="200" w:lineRule="exact"/>
        <w:rPr>
          <w:rFonts w:ascii="Verdana" w:hAnsi="Verdana"/>
          <w:sz w:val="20"/>
          <w:szCs w:val="20"/>
        </w:rPr>
      </w:pPr>
    </w:p>
    <w:p w14:paraId="38B717C3" w14:textId="77777777" w:rsidR="00C36463" w:rsidRPr="00B727CC" w:rsidRDefault="00C36463">
      <w:pPr>
        <w:spacing w:line="200" w:lineRule="exact"/>
        <w:rPr>
          <w:rFonts w:ascii="Verdana" w:hAnsi="Verdana"/>
        </w:rPr>
      </w:pPr>
    </w:p>
    <w:p w14:paraId="571B2695" w14:textId="00C34DBA" w:rsidR="001B05E8" w:rsidRPr="00B727CC" w:rsidRDefault="000A6E31" w:rsidP="00015A48">
      <w:pPr>
        <w:spacing w:line="200" w:lineRule="exact"/>
        <w:jc w:val="both"/>
        <w:rPr>
          <w:rFonts w:ascii="Verdana" w:eastAsia="Times New Roman" w:hAnsi="Verdana" w:cs="Arial"/>
          <w:b/>
        </w:rPr>
      </w:pPr>
      <w:r w:rsidRPr="00B727CC">
        <w:rPr>
          <w:rFonts w:ascii="Verdana" w:eastAsia="Times New Roman" w:hAnsi="Verdana" w:cs="Arial"/>
          <w:b/>
        </w:rPr>
        <w:t xml:space="preserve">Formulary changes for New Generics, New Indications and Miscellaneous Previously Reviewed drugs are effective </w:t>
      </w:r>
      <w:r w:rsidR="00081CCE">
        <w:rPr>
          <w:rFonts w:ascii="Verdana" w:eastAsia="Times New Roman" w:hAnsi="Verdana" w:cs="Arial"/>
          <w:b/>
        </w:rPr>
        <w:t>01</w:t>
      </w:r>
      <w:r w:rsidR="00BE479A" w:rsidRPr="00B727CC">
        <w:rPr>
          <w:rFonts w:ascii="Verdana" w:eastAsia="Times New Roman" w:hAnsi="Verdana" w:cs="Arial"/>
          <w:b/>
        </w:rPr>
        <w:t>/1</w:t>
      </w:r>
      <w:r w:rsidRPr="00B727CC">
        <w:rPr>
          <w:rFonts w:ascii="Verdana" w:eastAsia="Times New Roman" w:hAnsi="Verdana" w:cs="Arial"/>
          <w:b/>
        </w:rPr>
        <w:t>/202</w:t>
      </w:r>
      <w:r w:rsidR="00081CCE">
        <w:rPr>
          <w:rFonts w:ascii="Verdana" w:eastAsia="Times New Roman" w:hAnsi="Verdana" w:cs="Arial"/>
          <w:b/>
        </w:rPr>
        <w:t>6</w:t>
      </w:r>
      <w:r w:rsidRPr="00B727CC">
        <w:rPr>
          <w:rFonts w:ascii="Verdana" w:eastAsia="Times New Roman" w:hAnsi="Verdana" w:cs="Arial"/>
          <w:b/>
        </w:rPr>
        <w:t>.</w:t>
      </w:r>
    </w:p>
    <w:p w14:paraId="4909B206" w14:textId="77777777" w:rsidR="001B05E8" w:rsidRPr="00852F8C" w:rsidRDefault="001B05E8" w:rsidP="006B16C1">
      <w:pPr>
        <w:rPr>
          <w:rFonts w:ascii="Verdana" w:eastAsia="Times New Roman" w:hAnsi="Verdana" w:cs="Arial"/>
          <w:b/>
          <w:sz w:val="20"/>
          <w:szCs w:val="20"/>
          <w:u w:val="single"/>
        </w:rPr>
      </w:pPr>
    </w:p>
    <w:tbl>
      <w:tblPr>
        <w:tblStyle w:val="LightList-Accent5"/>
        <w:tblW w:w="10885" w:type="dxa"/>
        <w:tblInd w:w="-95" w:type="dxa"/>
        <w:tblBorders>
          <w:top w:val="single" w:sz="4" w:space="0" w:color="17365D" w:themeColor="text2" w:themeShade="BF"/>
          <w:left w:val="single" w:sz="4" w:space="0" w:color="17365D" w:themeColor="text2" w:themeShade="BF"/>
          <w:bottom w:val="single" w:sz="4" w:space="0" w:color="17365D" w:themeColor="text2" w:themeShade="BF"/>
          <w:right w:val="single" w:sz="4" w:space="0" w:color="17365D" w:themeColor="text2" w:themeShade="BF"/>
          <w:insideH w:val="single" w:sz="4" w:space="0" w:color="17365D" w:themeColor="text2" w:themeShade="BF"/>
          <w:insideV w:val="single" w:sz="4" w:space="0" w:color="17365D" w:themeColor="text2" w:themeShade="BF"/>
        </w:tblBorders>
        <w:tblLayout w:type="fixed"/>
        <w:tblLook w:val="04A0" w:firstRow="1" w:lastRow="0" w:firstColumn="1" w:lastColumn="0" w:noHBand="0" w:noVBand="1"/>
      </w:tblPr>
      <w:tblGrid>
        <w:gridCol w:w="10885"/>
      </w:tblGrid>
      <w:tr w:rsidR="00153FC2" w:rsidRPr="00852F8C" w14:paraId="2C07B094" w14:textId="77777777" w:rsidTr="00D901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85" w:type="dxa"/>
            <w:shd w:val="clear" w:color="auto" w:fill="00205B"/>
          </w:tcPr>
          <w:p w14:paraId="71E652E9" w14:textId="77777777" w:rsidR="004C5F89" w:rsidRPr="00852F8C" w:rsidRDefault="00153FC2" w:rsidP="005247AA">
            <w:pPr>
              <w:spacing w:after="240"/>
              <w:rPr>
                <w:rFonts w:ascii="Verdana" w:eastAsia="Times New Roman" w:hAnsi="Verdana" w:cs="Arial"/>
                <w:sz w:val="20"/>
                <w:szCs w:val="20"/>
              </w:rPr>
            </w:pPr>
            <w:bookmarkStart w:id="0" w:name="_Hlk98851985"/>
            <w:r w:rsidRPr="00852F8C">
              <w:rPr>
                <w:rFonts w:ascii="Verdana" w:eastAsia="Times New Roman" w:hAnsi="Verdana" w:cs="Arial"/>
                <w:sz w:val="20"/>
                <w:szCs w:val="20"/>
              </w:rPr>
              <w:t xml:space="preserve">New Indications Review </w:t>
            </w:r>
          </w:p>
        </w:tc>
      </w:tr>
    </w:tbl>
    <w:tbl>
      <w:tblPr>
        <w:tblStyle w:val="TableGrid"/>
        <w:tblW w:w="10917" w:type="dxa"/>
        <w:tblInd w:w="-95" w:type="dxa"/>
        <w:tblLook w:val="04A0" w:firstRow="1" w:lastRow="0" w:firstColumn="1" w:lastColumn="0" w:noHBand="0" w:noVBand="1"/>
      </w:tblPr>
      <w:tblGrid>
        <w:gridCol w:w="3845"/>
        <w:gridCol w:w="3408"/>
        <w:gridCol w:w="3664"/>
      </w:tblGrid>
      <w:tr w:rsidR="004F2F90" w:rsidRPr="00852F8C" w14:paraId="4B7C4753" w14:textId="77777777" w:rsidTr="001F115A">
        <w:trPr>
          <w:trHeight w:val="566"/>
        </w:trPr>
        <w:tc>
          <w:tcPr>
            <w:tcW w:w="3845" w:type="dxa"/>
          </w:tcPr>
          <w:p w14:paraId="48E65DDF" w14:textId="5B200CEC" w:rsidR="004F2F90" w:rsidRPr="00852F8C" w:rsidRDefault="004F2F90" w:rsidP="004F2F90">
            <w:pPr>
              <w:spacing w:after="240"/>
              <w:rPr>
                <w:rFonts w:ascii="Verdana" w:eastAsia="Times New Roman" w:hAnsi="Verdana" w:cs="Arial"/>
                <w:sz w:val="20"/>
                <w:szCs w:val="20"/>
              </w:rPr>
            </w:pPr>
            <w:r w:rsidRPr="00852F8C">
              <w:rPr>
                <w:rFonts w:ascii="Verdana" w:hAnsi="Verdana"/>
                <w:b/>
                <w:bCs/>
                <w:sz w:val="20"/>
                <w:szCs w:val="20"/>
              </w:rPr>
              <w:t>Drug</w:t>
            </w:r>
          </w:p>
        </w:tc>
        <w:tc>
          <w:tcPr>
            <w:tcW w:w="3408" w:type="dxa"/>
          </w:tcPr>
          <w:p w14:paraId="48AC1C2A" w14:textId="4EC1C9F5" w:rsidR="004F2F90" w:rsidRPr="00852F8C" w:rsidRDefault="004F2F90" w:rsidP="004F2F90">
            <w:pPr>
              <w:spacing w:after="240"/>
              <w:rPr>
                <w:rFonts w:ascii="Verdana" w:eastAsia="Times New Roman" w:hAnsi="Verdana" w:cs="Arial"/>
                <w:sz w:val="20"/>
                <w:szCs w:val="20"/>
              </w:rPr>
            </w:pPr>
            <w:r w:rsidRPr="00852F8C">
              <w:rPr>
                <w:rFonts w:ascii="Verdana" w:hAnsi="Verdana"/>
                <w:b/>
                <w:sz w:val="20"/>
                <w:szCs w:val="20"/>
              </w:rPr>
              <w:t>Current formulary status</w:t>
            </w:r>
          </w:p>
        </w:tc>
        <w:tc>
          <w:tcPr>
            <w:tcW w:w="3664" w:type="dxa"/>
          </w:tcPr>
          <w:p w14:paraId="0DC14B8E" w14:textId="39AC6804" w:rsidR="004F2F90" w:rsidRPr="00852F8C" w:rsidRDefault="004F2F90" w:rsidP="004F2F90">
            <w:pPr>
              <w:spacing w:after="240"/>
              <w:rPr>
                <w:rFonts w:ascii="Verdana" w:eastAsia="Times New Roman" w:hAnsi="Verdana" w:cs="Arial"/>
                <w:sz w:val="20"/>
                <w:szCs w:val="20"/>
              </w:rPr>
            </w:pPr>
            <w:r w:rsidRPr="00852F8C">
              <w:rPr>
                <w:rFonts w:ascii="Verdana" w:hAnsi="Verdana"/>
                <w:b/>
                <w:sz w:val="20"/>
                <w:szCs w:val="20"/>
              </w:rPr>
              <w:t>Recommendation</w:t>
            </w:r>
          </w:p>
        </w:tc>
      </w:tr>
      <w:bookmarkEnd w:id="0"/>
      <w:tr w:rsidR="00075402" w:rsidRPr="00852F8C" w14:paraId="1B56CDD1" w14:textId="77777777" w:rsidTr="001F115A">
        <w:tc>
          <w:tcPr>
            <w:tcW w:w="3845" w:type="dxa"/>
            <w:shd w:val="clear" w:color="auto" w:fill="auto"/>
          </w:tcPr>
          <w:p w14:paraId="79C91297" w14:textId="3D3B6D02" w:rsidR="00075402" w:rsidRPr="00021C33" w:rsidRDefault="00081CCE" w:rsidP="00075402">
            <w:pPr>
              <w:rPr>
                <w:rFonts w:ascii="Verdana" w:hAnsi="Verdana"/>
              </w:rPr>
            </w:pPr>
            <w:proofErr w:type="spellStart"/>
            <w:r w:rsidRPr="004D3445">
              <w:rPr>
                <w:rFonts w:ascii="Verdana" w:hAnsi="Verdana"/>
                <w:b/>
                <w:bCs/>
              </w:rPr>
              <w:lastRenderedPageBreak/>
              <w:t>Ajovy</w:t>
            </w:r>
            <w:proofErr w:type="spellEnd"/>
            <w:r w:rsidRPr="004D3445">
              <w:rPr>
                <w:rFonts w:ascii="Verdana" w:hAnsi="Verdana"/>
              </w:rPr>
              <w:t xml:space="preserve"> (</w:t>
            </w:r>
            <w:proofErr w:type="spellStart"/>
            <w:r w:rsidRPr="004D3445">
              <w:rPr>
                <w:rFonts w:ascii="Verdana" w:hAnsi="Verdana"/>
              </w:rPr>
              <w:t>fremanezumab</w:t>
            </w:r>
            <w:proofErr w:type="spellEnd"/>
            <w:r w:rsidRPr="004D3445">
              <w:rPr>
                <w:rFonts w:ascii="Verdana" w:hAnsi="Verdana"/>
              </w:rPr>
              <w:t>) 225 mg/1.5 mL PFS &amp; autoinjector for the preventive treatment of migraine in pediatric patients ≥ 6 years of age weighing ≥ 45 kg - age expansion</w:t>
            </w:r>
            <w:r w:rsidRPr="00021C33">
              <w:rPr>
                <w:rFonts w:ascii="Verdana" w:hAnsi="Verdana"/>
              </w:rPr>
              <w:t xml:space="preserve"> </w:t>
            </w:r>
          </w:p>
        </w:tc>
        <w:tc>
          <w:tcPr>
            <w:tcW w:w="3408" w:type="dxa"/>
            <w:shd w:val="clear" w:color="auto" w:fill="auto"/>
          </w:tcPr>
          <w:p w14:paraId="5B4C00B1" w14:textId="77777777" w:rsidR="00081CCE" w:rsidRPr="004D3445" w:rsidRDefault="00081CCE" w:rsidP="00081CCE">
            <w:pPr>
              <w:rPr>
                <w:rFonts w:ascii="Verdana" w:hAnsi="Verdana"/>
              </w:rPr>
            </w:pPr>
            <w:r w:rsidRPr="004D3445">
              <w:rPr>
                <w:rFonts w:ascii="Verdana" w:hAnsi="Verdana"/>
                <w:lang w:val="it-IT"/>
              </w:rPr>
              <w:t>F: MedD, IFP</w:t>
            </w:r>
          </w:p>
          <w:p w14:paraId="0DC35D72" w14:textId="77777777" w:rsidR="00081CCE" w:rsidRPr="004D3445" w:rsidRDefault="00081CCE" w:rsidP="00081CCE">
            <w:pPr>
              <w:rPr>
                <w:rFonts w:ascii="Verdana" w:hAnsi="Verdana"/>
              </w:rPr>
            </w:pPr>
            <w:r w:rsidRPr="004D3445">
              <w:rPr>
                <w:rFonts w:ascii="Verdana" w:hAnsi="Verdana"/>
                <w:lang w:val="it-IT"/>
              </w:rPr>
              <w:t>NF: PPO</w:t>
            </w:r>
          </w:p>
          <w:p w14:paraId="1AE49B69" w14:textId="77777777" w:rsidR="00081CCE" w:rsidRPr="004D3445" w:rsidRDefault="00081CCE" w:rsidP="00081CCE">
            <w:pPr>
              <w:rPr>
                <w:rFonts w:ascii="Verdana" w:hAnsi="Verdana"/>
              </w:rPr>
            </w:pPr>
            <w:r w:rsidRPr="004D3445">
              <w:rPr>
                <w:rFonts w:ascii="Verdana" w:hAnsi="Verdana"/>
                <w:lang w:val="it-IT"/>
              </w:rPr>
              <w:t>MA - PDL</w:t>
            </w:r>
          </w:p>
          <w:p w14:paraId="31DB2A16" w14:textId="1E15B213" w:rsidR="00075402" w:rsidRPr="00AF03AD" w:rsidRDefault="00075402" w:rsidP="00075402">
            <w:pPr>
              <w:rPr>
                <w:rFonts w:ascii="Verdana" w:eastAsia="Times New Roman" w:hAnsi="Verdana" w:cs="Arial"/>
              </w:rPr>
            </w:pPr>
          </w:p>
        </w:tc>
        <w:tc>
          <w:tcPr>
            <w:tcW w:w="3664" w:type="dxa"/>
            <w:shd w:val="clear" w:color="auto" w:fill="auto"/>
          </w:tcPr>
          <w:p w14:paraId="687708E5" w14:textId="6C33D19C" w:rsidR="00075402" w:rsidRPr="00AF03AD" w:rsidRDefault="00075402" w:rsidP="00075402">
            <w:pPr>
              <w:rPr>
                <w:rFonts w:ascii="Verdana" w:hAnsi="Verdana"/>
              </w:rPr>
            </w:pPr>
            <w:r w:rsidRPr="00AF03AD">
              <w:rPr>
                <w:rFonts w:ascii="Verdana" w:hAnsi="Verdana"/>
              </w:rPr>
              <w:t>No change</w:t>
            </w:r>
          </w:p>
          <w:p w14:paraId="3FEA51F4" w14:textId="3503BEF9" w:rsidR="00075402" w:rsidRPr="00AF03AD" w:rsidRDefault="00075402" w:rsidP="00075402">
            <w:pPr>
              <w:rPr>
                <w:rFonts w:ascii="Verdana" w:eastAsia="Times New Roman" w:hAnsi="Verdana" w:cs="Arial"/>
              </w:rPr>
            </w:pPr>
          </w:p>
        </w:tc>
      </w:tr>
      <w:tr w:rsidR="00075402" w:rsidRPr="00852F8C" w14:paraId="40C03084" w14:textId="77777777" w:rsidTr="001F115A">
        <w:trPr>
          <w:trHeight w:val="503"/>
        </w:trPr>
        <w:tc>
          <w:tcPr>
            <w:tcW w:w="3845" w:type="dxa"/>
            <w:shd w:val="clear" w:color="auto" w:fill="auto"/>
          </w:tcPr>
          <w:p w14:paraId="4EEC3807" w14:textId="77777777" w:rsidR="00081CCE" w:rsidRPr="004D3445" w:rsidRDefault="00081CCE" w:rsidP="00081CCE">
            <w:pPr>
              <w:rPr>
                <w:rFonts w:ascii="Verdana" w:hAnsi="Verdana"/>
              </w:rPr>
            </w:pPr>
            <w:proofErr w:type="spellStart"/>
            <w:r w:rsidRPr="004D3445">
              <w:rPr>
                <w:rFonts w:ascii="Verdana" w:hAnsi="Verdana"/>
                <w:b/>
                <w:bCs/>
              </w:rPr>
              <w:t>Sirturo</w:t>
            </w:r>
            <w:proofErr w:type="spellEnd"/>
            <w:r w:rsidRPr="004D3445">
              <w:rPr>
                <w:rFonts w:ascii="Verdana" w:hAnsi="Verdana"/>
              </w:rPr>
              <w:t xml:space="preserve"> (</w:t>
            </w:r>
            <w:proofErr w:type="spellStart"/>
            <w:r w:rsidRPr="004D3445">
              <w:rPr>
                <w:rFonts w:ascii="Verdana" w:hAnsi="Verdana"/>
              </w:rPr>
              <w:t>bedaquiline</w:t>
            </w:r>
            <w:proofErr w:type="spellEnd"/>
            <w:r w:rsidRPr="004D3445">
              <w:rPr>
                <w:rFonts w:ascii="Verdana" w:hAnsi="Verdana"/>
              </w:rPr>
              <w:t>) 20 mg tablets for multidrug resistant tuberculosis in patients ≥ 2 years weighing ≥ 8 kg - age expansion</w:t>
            </w:r>
          </w:p>
          <w:p w14:paraId="6C228C09" w14:textId="6073A0C9" w:rsidR="00075402" w:rsidRPr="0000785E" w:rsidRDefault="00075402" w:rsidP="00746B73">
            <w:pPr>
              <w:rPr>
                <w:rFonts w:ascii="Verdana" w:hAnsi="Verdana"/>
              </w:rPr>
            </w:pPr>
          </w:p>
        </w:tc>
        <w:tc>
          <w:tcPr>
            <w:tcW w:w="3408" w:type="dxa"/>
            <w:shd w:val="clear" w:color="auto" w:fill="auto"/>
          </w:tcPr>
          <w:p w14:paraId="21D65EB5" w14:textId="77777777" w:rsidR="00081CCE" w:rsidRPr="004D3445" w:rsidRDefault="00081CCE" w:rsidP="00081CCE">
            <w:pPr>
              <w:rPr>
                <w:rFonts w:ascii="Verdana" w:hAnsi="Verdana"/>
              </w:rPr>
            </w:pPr>
            <w:r w:rsidRPr="004D3445">
              <w:rPr>
                <w:rFonts w:ascii="Verdana" w:hAnsi="Verdana"/>
              </w:rPr>
              <w:t>F: all lines of business</w:t>
            </w:r>
          </w:p>
          <w:p w14:paraId="04632F8E" w14:textId="50954AD0" w:rsidR="00075402" w:rsidRPr="00AF03AD" w:rsidRDefault="00075402" w:rsidP="00746B73">
            <w:pPr>
              <w:rPr>
                <w:rFonts w:ascii="Verdana" w:hAnsi="Verdana"/>
              </w:rPr>
            </w:pPr>
          </w:p>
        </w:tc>
        <w:tc>
          <w:tcPr>
            <w:tcW w:w="3664" w:type="dxa"/>
            <w:shd w:val="clear" w:color="auto" w:fill="auto"/>
          </w:tcPr>
          <w:p w14:paraId="20746239" w14:textId="77777777" w:rsidR="00746B73" w:rsidRPr="00AF03AD" w:rsidRDefault="00746B73" w:rsidP="00746B73">
            <w:pPr>
              <w:rPr>
                <w:rFonts w:ascii="Verdana" w:hAnsi="Verdana"/>
              </w:rPr>
            </w:pPr>
            <w:r w:rsidRPr="00AF03AD">
              <w:rPr>
                <w:rFonts w:ascii="Verdana" w:hAnsi="Verdana"/>
              </w:rPr>
              <w:t>No change</w:t>
            </w:r>
          </w:p>
          <w:p w14:paraId="6C241ED8" w14:textId="19003A50" w:rsidR="00075402" w:rsidRPr="00AF03AD" w:rsidRDefault="00075402" w:rsidP="00746B73">
            <w:pPr>
              <w:rPr>
                <w:rFonts w:ascii="Verdana" w:hAnsi="Verdana"/>
              </w:rPr>
            </w:pPr>
          </w:p>
        </w:tc>
      </w:tr>
      <w:tr w:rsidR="00075402" w:rsidRPr="00852F8C" w14:paraId="7403E543" w14:textId="77777777" w:rsidTr="001F115A">
        <w:tc>
          <w:tcPr>
            <w:tcW w:w="3845" w:type="dxa"/>
            <w:shd w:val="clear" w:color="auto" w:fill="auto"/>
          </w:tcPr>
          <w:p w14:paraId="32C2632D" w14:textId="77777777" w:rsidR="00081CCE" w:rsidRPr="004D3445" w:rsidRDefault="00081CCE" w:rsidP="00081CCE">
            <w:pPr>
              <w:rPr>
                <w:rFonts w:ascii="Verdana" w:hAnsi="Verdana"/>
              </w:rPr>
            </w:pPr>
            <w:proofErr w:type="spellStart"/>
            <w:r w:rsidRPr="004D3445">
              <w:rPr>
                <w:rFonts w:ascii="Verdana" w:hAnsi="Verdana"/>
                <w:b/>
                <w:bCs/>
              </w:rPr>
              <w:t>Doptelet</w:t>
            </w:r>
            <w:proofErr w:type="spellEnd"/>
            <w:r w:rsidRPr="004D3445">
              <w:rPr>
                <w:rFonts w:ascii="Verdana" w:hAnsi="Verdana"/>
              </w:rPr>
              <w:t xml:space="preserve"> (</w:t>
            </w:r>
            <w:proofErr w:type="spellStart"/>
            <w:r w:rsidRPr="004D3445">
              <w:rPr>
                <w:rFonts w:ascii="Verdana" w:hAnsi="Verdana"/>
              </w:rPr>
              <w:t>avatrombopag</w:t>
            </w:r>
            <w:proofErr w:type="spellEnd"/>
            <w:r w:rsidRPr="004D3445">
              <w:rPr>
                <w:rFonts w:ascii="Verdana" w:hAnsi="Verdana"/>
              </w:rPr>
              <w:t>) 10 mg sprinkle capsules &amp; 20 mg tablets for thrombocytopenia in pediatric patients ≥ 1 year with persistent or chronic ITP - age expansion</w:t>
            </w:r>
          </w:p>
          <w:p w14:paraId="28120F19" w14:textId="43E3A598" w:rsidR="00075402" w:rsidRPr="0000785E" w:rsidRDefault="00075402" w:rsidP="00F6467A">
            <w:pPr>
              <w:rPr>
                <w:rFonts w:ascii="Verdana" w:hAnsi="Verdana"/>
              </w:rPr>
            </w:pPr>
          </w:p>
        </w:tc>
        <w:tc>
          <w:tcPr>
            <w:tcW w:w="3408" w:type="dxa"/>
            <w:shd w:val="clear" w:color="auto" w:fill="auto"/>
          </w:tcPr>
          <w:p w14:paraId="5AA427AC" w14:textId="77777777" w:rsidR="00081CCE" w:rsidRPr="004D3445" w:rsidRDefault="00081CCE" w:rsidP="00081CCE">
            <w:pPr>
              <w:rPr>
                <w:rFonts w:ascii="Verdana" w:hAnsi="Verdana"/>
              </w:rPr>
            </w:pPr>
            <w:r w:rsidRPr="004D3445">
              <w:rPr>
                <w:rFonts w:ascii="Verdana" w:hAnsi="Verdana"/>
              </w:rPr>
              <w:t>NF: all lines of business</w:t>
            </w:r>
          </w:p>
          <w:p w14:paraId="57D9EF13" w14:textId="77A907C7" w:rsidR="00075402" w:rsidRPr="00AF03AD" w:rsidRDefault="00075402" w:rsidP="00746B73">
            <w:pPr>
              <w:rPr>
                <w:rFonts w:ascii="Verdana" w:hAnsi="Verdana"/>
              </w:rPr>
            </w:pPr>
          </w:p>
        </w:tc>
        <w:tc>
          <w:tcPr>
            <w:tcW w:w="3664" w:type="dxa"/>
            <w:shd w:val="clear" w:color="auto" w:fill="auto"/>
          </w:tcPr>
          <w:p w14:paraId="2BE8DBC8" w14:textId="77777777" w:rsidR="00746B73" w:rsidRPr="00AF03AD" w:rsidRDefault="00746B73" w:rsidP="00746B73">
            <w:pPr>
              <w:rPr>
                <w:rFonts w:ascii="Verdana" w:hAnsi="Verdana"/>
              </w:rPr>
            </w:pPr>
            <w:r w:rsidRPr="00AF03AD">
              <w:rPr>
                <w:rFonts w:ascii="Verdana" w:hAnsi="Verdana"/>
              </w:rPr>
              <w:t>No change</w:t>
            </w:r>
          </w:p>
          <w:p w14:paraId="5EB58032" w14:textId="1F03B6C9" w:rsidR="00075402" w:rsidRPr="00AF03AD" w:rsidRDefault="00075402" w:rsidP="00746B73">
            <w:pPr>
              <w:rPr>
                <w:rFonts w:ascii="Verdana" w:eastAsia="Times New Roman" w:hAnsi="Verdana" w:cs="Arial"/>
              </w:rPr>
            </w:pPr>
          </w:p>
        </w:tc>
      </w:tr>
      <w:tr w:rsidR="00075402" w:rsidRPr="00852F8C" w14:paraId="7F7B60B7" w14:textId="77777777" w:rsidTr="001F115A">
        <w:tc>
          <w:tcPr>
            <w:tcW w:w="3845" w:type="dxa"/>
            <w:shd w:val="clear" w:color="auto" w:fill="auto"/>
          </w:tcPr>
          <w:p w14:paraId="0295EE0F" w14:textId="77777777" w:rsidR="00081CCE" w:rsidRPr="004D3445" w:rsidRDefault="00081CCE" w:rsidP="00081CCE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4D3445">
              <w:rPr>
                <w:rFonts w:ascii="Verdana" w:hAnsi="Verdana"/>
                <w:b/>
                <w:bCs/>
                <w:sz w:val="22"/>
                <w:szCs w:val="22"/>
              </w:rPr>
              <w:t>Otezla</w:t>
            </w:r>
            <w:r w:rsidRPr="004D3445">
              <w:rPr>
                <w:rFonts w:ascii="Verdana" w:hAnsi="Verdana"/>
                <w:sz w:val="22"/>
                <w:szCs w:val="22"/>
              </w:rPr>
              <w:t xml:space="preserve"> (apremilast) 10, 20, &amp; 30 mg tablets for active psoriatic arthritis in pediatric patients ≥ 6 years - age expansion</w:t>
            </w:r>
          </w:p>
          <w:p w14:paraId="547F3925" w14:textId="3C42E64D" w:rsidR="00075402" w:rsidRPr="0000785E" w:rsidRDefault="00075402" w:rsidP="00F6467A">
            <w:pPr>
              <w:pStyle w:val="Default"/>
              <w:rPr>
                <w:rFonts w:ascii="Verdana" w:hAnsi="Verdana" w:cstheme="minorBidi"/>
                <w:color w:val="auto"/>
                <w:sz w:val="22"/>
                <w:szCs w:val="22"/>
                <w14:ligatures w14:val="none"/>
              </w:rPr>
            </w:pPr>
          </w:p>
        </w:tc>
        <w:tc>
          <w:tcPr>
            <w:tcW w:w="3408" w:type="dxa"/>
            <w:shd w:val="clear" w:color="auto" w:fill="auto"/>
          </w:tcPr>
          <w:p w14:paraId="214A9FA1" w14:textId="77777777" w:rsidR="00081CCE" w:rsidRPr="004D3445" w:rsidRDefault="00081CCE" w:rsidP="00081CCE">
            <w:pPr>
              <w:rPr>
                <w:rFonts w:ascii="Verdana" w:hAnsi="Verdana"/>
              </w:rPr>
            </w:pPr>
            <w:r w:rsidRPr="004D3445">
              <w:rPr>
                <w:rFonts w:ascii="Verdana" w:hAnsi="Verdana"/>
              </w:rPr>
              <w:t xml:space="preserve">F: </w:t>
            </w:r>
            <w:proofErr w:type="spellStart"/>
            <w:r w:rsidRPr="004D3445">
              <w:rPr>
                <w:rFonts w:ascii="Verdana" w:hAnsi="Verdana"/>
              </w:rPr>
              <w:t>MedD</w:t>
            </w:r>
            <w:proofErr w:type="spellEnd"/>
            <w:r w:rsidRPr="004D3445">
              <w:rPr>
                <w:rFonts w:ascii="Verdana" w:hAnsi="Verdana"/>
              </w:rPr>
              <w:t>, PPO, IFP</w:t>
            </w:r>
          </w:p>
          <w:p w14:paraId="46DA9970" w14:textId="77777777" w:rsidR="00081CCE" w:rsidRPr="004D3445" w:rsidRDefault="00081CCE" w:rsidP="00081CCE">
            <w:pPr>
              <w:rPr>
                <w:rFonts w:ascii="Verdana" w:hAnsi="Verdana"/>
              </w:rPr>
            </w:pPr>
            <w:r w:rsidRPr="004D3445">
              <w:rPr>
                <w:rFonts w:ascii="Verdana" w:hAnsi="Verdana"/>
              </w:rPr>
              <w:t>PDL: MA</w:t>
            </w:r>
          </w:p>
          <w:p w14:paraId="2FC01962" w14:textId="0F549E20" w:rsidR="00075402" w:rsidRPr="00AF03AD" w:rsidRDefault="00075402" w:rsidP="00746B73">
            <w:pPr>
              <w:rPr>
                <w:rFonts w:ascii="Verdana" w:eastAsia="Times New Roman" w:hAnsi="Verdana" w:cs="Arial"/>
              </w:rPr>
            </w:pPr>
          </w:p>
        </w:tc>
        <w:tc>
          <w:tcPr>
            <w:tcW w:w="3664" w:type="dxa"/>
            <w:shd w:val="clear" w:color="auto" w:fill="auto"/>
          </w:tcPr>
          <w:p w14:paraId="1F444E8A" w14:textId="77777777" w:rsidR="00746B73" w:rsidRPr="00AF03AD" w:rsidRDefault="00746B73" w:rsidP="00746B73">
            <w:pPr>
              <w:rPr>
                <w:rFonts w:ascii="Verdana" w:hAnsi="Verdana"/>
              </w:rPr>
            </w:pPr>
            <w:r w:rsidRPr="00AF03AD">
              <w:rPr>
                <w:rFonts w:ascii="Verdana" w:hAnsi="Verdana"/>
              </w:rPr>
              <w:t>No change</w:t>
            </w:r>
          </w:p>
          <w:p w14:paraId="779A8F60" w14:textId="06EB5F60" w:rsidR="00075402" w:rsidRPr="00AF03AD" w:rsidRDefault="00075402" w:rsidP="00746B73">
            <w:pPr>
              <w:rPr>
                <w:rFonts w:ascii="Verdana" w:eastAsia="Times New Roman" w:hAnsi="Verdana" w:cs="Arial"/>
              </w:rPr>
            </w:pPr>
          </w:p>
        </w:tc>
      </w:tr>
      <w:tr w:rsidR="00081CCE" w:rsidRPr="00852F8C" w14:paraId="72856C60" w14:textId="77777777" w:rsidTr="001F115A">
        <w:tc>
          <w:tcPr>
            <w:tcW w:w="3845" w:type="dxa"/>
            <w:shd w:val="clear" w:color="auto" w:fill="auto"/>
          </w:tcPr>
          <w:p w14:paraId="1987F057" w14:textId="77777777" w:rsidR="00081CCE" w:rsidRPr="00851125" w:rsidRDefault="00081CCE" w:rsidP="00081CCE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proofErr w:type="spellStart"/>
            <w:r w:rsidRPr="00851125">
              <w:rPr>
                <w:rFonts w:ascii="Verdana" w:hAnsi="Verdana"/>
                <w:b/>
                <w:bCs/>
                <w:sz w:val="22"/>
                <w:szCs w:val="22"/>
              </w:rPr>
              <w:t>Biktarvy</w:t>
            </w:r>
            <w:proofErr w:type="spellEnd"/>
            <w:r w:rsidRPr="00851125">
              <w:rPr>
                <w:rFonts w:ascii="Verdana" w:hAnsi="Verdana"/>
                <w:sz w:val="22"/>
                <w:szCs w:val="22"/>
              </w:rPr>
              <w:t xml:space="preserve"> (</w:t>
            </w:r>
            <w:proofErr w:type="spellStart"/>
            <w:r w:rsidRPr="00851125">
              <w:rPr>
                <w:rFonts w:ascii="Verdana" w:hAnsi="Verdana"/>
                <w:sz w:val="22"/>
                <w:szCs w:val="22"/>
              </w:rPr>
              <w:t>bictegravir</w:t>
            </w:r>
            <w:proofErr w:type="spellEnd"/>
            <w:r w:rsidRPr="00851125">
              <w:rPr>
                <w:rFonts w:ascii="Verdana" w:hAnsi="Verdana"/>
                <w:sz w:val="22"/>
                <w:szCs w:val="22"/>
              </w:rPr>
              <w:t>-emtricitabine-tenofovir alafenamide) 50-200-25 mg &amp; 30-120-15 mg tablets for HIV-1 in adult and pediatric patients weighing ≥ 14 kg - indication expansion</w:t>
            </w:r>
          </w:p>
          <w:p w14:paraId="38BEAD85" w14:textId="5E4B3E89" w:rsidR="00081CCE" w:rsidRPr="0000785E" w:rsidRDefault="00081CCE" w:rsidP="00081CCE">
            <w:pPr>
              <w:pStyle w:val="Default"/>
              <w:rPr>
                <w:rFonts w:ascii="Verdana" w:hAnsi="Verdana" w:cstheme="minorBidi"/>
                <w:color w:val="auto"/>
                <w:sz w:val="22"/>
                <w:szCs w:val="22"/>
                <w14:ligatures w14:val="none"/>
              </w:rPr>
            </w:pPr>
          </w:p>
        </w:tc>
        <w:tc>
          <w:tcPr>
            <w:tcW w:w="3408" w:type="dxa"/>
            <w:shd w:val="clear" w:color="auto" w:fill="auto"/>
          </w:tcPr>
          <w:p w14:paraId="651ED626" w14:textId="77777777" w:rsidR="00081CCE" w:rsidRPr="00851125" w:rsidRDefault="00081CCE" w:rsidP="00081CCE">
            <w:pPr>
              <w:rPr>
                <w:rFonts w:ascii="Verdana" w:hAnsi="Verdana"/>
              </w:rPr>
            </w:pPr>
            <w:r w:rsidRPr="00851125">
              <w:rPr>
                <w:rFonts w:ascii="Verdana" w:hAnsi="Verdana"/>
              </w:rPr>
              <w:t>F: all lines of business</w:t>
            </w:r>
          </w:p>
          <w:p w14:paraId="0613AA00" w14:textId="6D89E60C" w:rsidR="00081CCE" w:rsidRPr="00AF03AD" w:rsidRDefault="00081CCE" w:rsidP="00081CCE">
            <w:pPr>
              <w:rPr>
                <w:rFonts w:ascii="Verdana" w:hAnsi="Verdana"/>
              </w:rPr>
            </w:pPr>
          </w:p>
        </w:tc>
        <w:tc>
          <w:tcPr>
            <w:tcW w:w="3664" w:type="dxa"/>
            <w:shd w:val="clear" w:color="auto" w:fill="auto"/>
          </w:tcPr>
          <w:p w14:paraId="1A85D788" w14:textId="77777777" w:rsidR="00081CCE" w:rsidRPr="00AF03AD" w:rsidRDefault="00081CCE" w:rsidP="00081CCE">
            <w:pPr>
              <w:rPr>
                <w:rFonts w:ascii="Verdana" w:hAnsi="Verdana"/>
              </w:rPr>
            </w:pPr>
            <w:r w:rsidRPr="00AF03AD">
              <w:rPr>
                <w:rFonts w:ascii="Verdana" w:hAnsi="Verdana"/>
              </w:rPr>
              <w:t>No change</w:t>
            </w:r>
          </w:p>
          <w:p w14:paraId="1BAA3641" w14:textId="62ECB6A1" w:rsidR="00081CCE" w:rsidRPr="00AF03AD" w:rsidRDefault="00081CCE" w:rsidP="00081CCE">
            <w:pPr>
              <w:rPr>
                <w:rFonts w:ascii="Verdana" w:hAnsi="Verdana"/>
              </w:rPr>
            </w:pPr>
          </w:p>
          <w:p w14:paraId="3B6D7DF1" w14:textId="77777777" w:rsidR="00081CCE" w:rsidRPr="00AF03AD" w:rsidRDefault="00081CCE" w:rsidP="00081CCE">
            <w:pPr>
              <w:rPr>
                <w:rFonts w:ascii="Verdana" w:hAnsi="Verdana"/>
              </w:rPr>
            </w:pPr>
          </w:p>
        </w:tc>
      </w:tr>
      <w:tr w:rsidR="00081CCE" w:rsidRPr="00852F8C" w14:paraId="6AFA6694" w14:textId="77777777" w:rsidTr="001F115A">
        <w:tc>
          <w:tcPr>
            <w:tcW w:w="3845" w:type="dxa"/>
            <w:shd w:val="clear" w:color="auto" w:fill="auto"/>
          </w:tcPr>
          <w:p w14:paraId="24A6CCD2" w14:textId="77777777" w:rsidR="00081CCE" w:rsidRPr="00851125" w:rsidRDefault="00081CCE" w:rsidP="00081CCE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851125">
              <w:rPr>
                <w:rFonts w:ascii="Verdana" w:hAnsi="Verdana"/>
                <w:b/>
                <w:bCs/>
                <w:sz w:val="22"/>
                <w:szCs w:val="22"/>
              </w:rPr>
              <w:t>Repatha</w:t>
            </w:r>
            <w:r w:rsidRPr="00851125">
              <w:rPr>
                <w:rFonts w:ascii="Verdana" w:hAnsi="Verdana"/>
                <w:sz w:val="22"/>
                <w:szCs w:val="22"/>
              </w:rPr>
              <w:t xml:space="preserve"> (</w:t>
            </w:r>
            <w:proofErr w:type="spellStart"/>
            <w:r w:rsidRPr="00851125">
              <w:rPr>
                <w:rFonts w:ascii="Verdana" w:hAnsi="Verdana"/>
                <w:sz w:val="22"/>
                <w:szCs w:val="22"/>
              </w:rPr>
              <w:t>evolocumab</w:t>
            </w:r>
            <w:proofErr w:type="spellEnd"/>
            <w:r w:rsidRPr="00851125">
              <w:rPr>
                <w:rFonts w:ascii="Verdana" w:hAnsi="Verdana"/>
                <w:sz w:val="22"/>
                <w:szCs w:val="22"/>
              </w:rPr>
              <w:t xml:space="preserve">) 140 mg/mL PFS &amp; autoinjector and 420 mg/3.5 mL on-body </w:t>
            </w:r>
            <w:proofErr w:type="spellStart"/>
            <w:r w:rsidRPr="00851125">
              <w:rPr>
                <w:rFonts w:ascii="Verdana" w:hAnsi="Verdana"/>
                <w:sz w:val="22"/>
                <w:szCs w:val="22"/>
              </w:rPr>
              <w:t>infusor</w:t>
            </w:r>
            <w:proofErr w:type="spellEnd"/>
            <w:r w:rsidRPr="00851125">
              <w:rPr>
                <w:rFonts w:ascii="Verdana" w:hAnsi="Verdana"/>
                <w:sz w:val="22"/>
                <w:szCs w:val="22"/>
              </w:rPr>
              <w:t xml:space="preserve"> to reduce risk of MACE in adults at increased risk and as an adjunct to diet and exercise in adult and pediatric patients ≥ 10 years of age with </w:t>
            </w:r>
            <w:proofErr w:type="spellStart"/>
            <w:r w:rsidRPr="00851125">
              <w:rPr>
                <w:rFonts w:ascii="Verdana" w:hAnsi="Verdana"/>
                <w:sz w:val="22"/>
                <w:szCs w:val="22"/>
              </w:rPr>
              <w:t>HeFH</w:t>
            </w:r>
            <w:proofErr w:type="spellEnd"/>
            <w:r w:rsidRPr="00851125">
              <w:rPr>
                <w:rFonts w:ascii="Verdana" w:hAnsi="Verdana"/>
                <w:sz w:val="22"/>
                <w:szCs w:val="22"/>
              </w:rPr>
              <w:t xml:space="preserve"> or </w:t>
            </w:r>
            <w:proofErr w:type="spellStart"/>
            <w:r w:rsidRPr="00851125">
              <w:rPr>
                <w:rFonts w:ascii="Verdana" w:hAnsi="Verdana"/>
                <w:sz w:val="22"/>
                <w:szCs w:val="22"/>
              </w:rPr>
              <w:t>HoFH</w:t>
            </w:r>
            <w:proofErr w:type="spellEnd"/>
          </w:p>
          <w:p w14:paraId="1A56E124" w14:textId="476F24B3" w:rsidR="00081CCE" w:rsidRPr="0000785E" w:rsidRDefault="00081CCE" w:rsidP="00081CCE">
            <w:pPr>
              <w:rPr>
                <w:rFonts w:ascii="Verdana" w:hAnsi="Verdana"/>
              </w:rPr>
            </w:pPr>
          </w:p>
        </w:tc>
        <w:tc>
          <w:tcPr>
            <w:tcW w:w="3408" w:type="dxa"/>
            <w:shd w:val="clear" w:color="auto" w:fill="auto"/>
          </w:tcPr>
          <w:p w14:paraId="305EE178" w14:textId="77777777" w:rsidR="00081CCE" w:rsidRPr="00851125" w:rsidRDefault="00081CCE" w:rsidP="00081CCE">
            <w:pPr>
              <w:rPr>
                <w:rFonts w:ascii="Verdana" w:hAnsi="Verdana"/>
              </w:rPr>
            </w:pPr>
            <w:r w:rsidRPr="00851125">
              <w:rPr>
                <w:rFonts w:ascii="Verdana" w:hAnsi="Verdana"/>
              </w:rPr>
              <w:t xml:space="preserve">F: </w:t>
            </w:r>
            <w:proofErr w:type="spellStart"/>
            <w:r w:rsidRPr="00851125">
              <w:rPr>
                <w:rFonts w:ascii="Verdana" w:hAnsi="Verdana"/>
              </w:rPr>
              <w:t>MedD</w:t>
            </w:r>
            <w:proofErr w:type="spellEnd"/>
            <w:r w:rsidRPr="00851125">
              <w:rPr>
                <w:rFonts w:ascii="Verdana" w:hAnsi="Verdana"/>
              </w:rPr>
              <w:t>, PPO, IFP</w:t>
            </w:r>
          </w:p>
          <w:p w14:paraId="42FC780F" w14:textId="77777777" w:rsidR="00081CCE" w:rsidRPr="00851125" w:rsidRDefault="00081CCE" w:rsidP="00081CCE">
            <w:pPr>
              <w:rPr>
                <w:rFonts w:ascii="Verdana" w:hAnsi="Verdana"/>
              </w:rPr>
            </w:pPr>
            <w:r w:rsidRPr="00851125">
              <w:rPr>
                <w:rFonts w:ascii="Verdana" w:hAnsi="Verdana"/>
              </w:rPr>
              <w:t>NP: MA</w:t>
            </w:r>
          </w:p>
          <w:p w14:paraId="1207E7EA" w14:textId="07AB086E" w:rsidR="00081CCE" w:rsidRPr="007E4E57" w:rsidRDefault="00081CCE" w:rsidP="00081CCE">
            <w:pPr>
              <w:rPr>
                <w:rFonts w:ascii="Verdana" w:hAnsi="Verdana"/>
                <w:highlight w:val="yellow"/>
              </w:rPr>
            </w:pPr>
          </w:p>
        </w:tc>
        <w:tc>
          <w:tcPr>
            <w:tcW w:w="3664" w:type="dxa"/>
            <w:shd w:val="clear" w:color="auto" w:fill="auto"/>
          </w:tcPr>
          <w:p w14:paraId="6BF017C7" w14:textId="77777777" w:rsidR="00081CCE" w:rsidRPr="00AF03AD" w:rsidRDefault="00081CCE" w:rsidP="00081CCE">
            <w:pPr>
              <w:rPr>
                <w:rFonts w:ascii="Verdana" w:hAnsi="Verdana"/>
              </w:rPr>
            </w:pPr>
            <w:r w:rsidRPr="00AF03AD">
              <w:rPr>
                <w:rFonts w:ascii="Verdana" w:hAnsi="Verdana"/>
              </w:rPr>
              <w:t>No change</w:t>
            </w:r>
          </w:p>
          <w:p w14:paraId="5458BA92" w14:textId="77777777" w:rsidR="00081CCE" w:rsidRPr="00AF03AD" w:rsidRDefault="00081CCE" w:rsidP="00081CCE">
            <w:pPr>
              <w:rPr>
                <w:rFonts w:ascii="Verdana" w:hAnsi="Verdana"/>
              </w:rPr>
            </w:pPr>
          </w:p>
        </w:tc>
      </w:tr>
      <w:tr w:rsidR="00081CCE" w:rsidRPr="00852F8C" w14:paraId="17CA87CD" w14:textId="77777777" w:rsidTr="001F115A">
        <w:tc>
          <w:tcPr>
            <w:tcW w:w="3845" w:type="dxa"/>
            <w:shd w:val="clear" w:color="auto" w:fill="auto"/>
          </w:tcPr>
          <w:p w14:paraId="69CC1936" w14:textId="2B252B10" w:rsidR="00081CCE" w:rsidRPr="00081CCE" w:rsidRDefault="00081CCE" w:rsidP="00081CCE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proofErr w:type="spellStart"/>
            <w:r w:rsidRPr="00851125">
              <w:rPr>
                <w:rFonts w:ascii="Verdana" w:hAnsi="Verdana"/>
                <w:b/>
                <w:bCs/>
                <w:sz w:val="22"/>
                <w:szCs w:val="22"/>
              </w:rPr>
              <w:t>Skytrofa</w:t>
            </w:r>
            <w:proofErr w:type="spellEnd"/>
            <w:r w:rsidRPr="00851125">
              <w:rPr>
                <w:rFonts w:ascii="Verdana" w:hAnsi="Verdana"/>
                <w:sz w:val="22"/>
                <w:szCs w:val="22"/>
              </w:rPr>
              <w:t xml:space="preserve"> (</w:t>
            </w:r>
            <w:proofErr w:type="spellStart"/>
            <w:r w:rsidRPr="00851125">
              <w:rPr>
                <w:rFonts w:ascii="Verdana" w:hAnsi="Verdana"/>
                <w:sz w:val="22"/>
                <w:szCs w:val="22"/>
              </w:rPr>
              <w:t>lonapegsomatropin</w:t>
            </w:r>
            <w:proofErr w:type="spellEnd"/>
            <w:r w:rsidRPr="00851125">
              <w:rPr>
                <w:rFonts w:ascii="Verdana" w:hAnsi="Verdana"/>
                <w:sz w:val="22"/>
                <w:szCs w:val="22"/>
              </w:rPr>
              <w:t>) single-dose vials for adults with growth hormone deficiency</w:t>
            </w:r>
          </w:p>
        </w:tc>
        <w:tc>
          <w:tcPr>
            <w:tcW w:w="3408" w:type="dxa"/>
            <w:shd w:val="clear" w:color="auto" w:fill="auto"/>
          </w:tcPr>
          <w:p w14:paraId="2B1E4FD9" w14:textId="77777777" w:rsidR="00081CCE" w:rsidRPr="00851125" w:rsidRDefault="00081CCE" w:rsidP="00081CCE">
            <w:pPr>
              <w:rPr>
                <w:rFonts w:ascii="Verdana" w:hAnsi="Verdana"/>
              </w:rPr>
            </w:pPr>
            <w:r w:rsidRPr="00851125">
              <w:rPr>
                <w:rFonts w:ascii="Verdana" w:hAnsi="Verdana"/>
              </w:rPr>
              <w:t xml:space="preserve">F: </w:t>
            </w:r>
            <w:proofErr w:type="spellStart"/>
            <w:r w:rsidRPr="00851125">
              <w:rPr>
                <w:rFonts w:ascii="Verdana" w:hAnsi="Verdana"/>
              </w:rPr>
              <w:t>MedD</w:t>
            </w:r>
            <w:proofErr w:type="spellEnd"/>
            <w:r w:rsidRPr="00851125">
              <w:rPr>
                <w:rFonts w:ascii="Verdana" w:hAnsi="Verdana"/>
              </w:rPr>
              <w:t>, PPO</w:t>
            </w:r>
          </w:p>
          <w:p w14:paraId="44EA09F4" w14:textId="77777777" w:rsidR="00081CCE" w:rsidRPr="00851125" w:rsidRDefault="00081CCE" w:rsidP="00081CCE">
            <w:pPr>
              <w:rPr>
                <w:rFonts w:ascii="Verdana" w:hAnsi="Verdana"/>
              </w:rPr>
            </w:pPr>
            <w:r w:rsidRPr="00851125">
              <w:rPr>
                <w:rFonts w:ascii="Verdana" w:hAnsi="Verdana"/>
              </w:rPr>
              <w:t>NF: IFP</w:t>
            </w:r>
          </w:p>
          <w:p w14:paraId="55F02075" w14:textId="57607995" w:rsidR="00081CCE" w:rsidRPr="00AF03AD" w:rsidRDefault="00081CCE" w:rsidP="00081CCE">
            <w:pPr>
              <w:rPr>
                <w:rFonts w:ascii="Verdana" w:hAnsi="Verdana"/>
              </w:rPr>
            </w:pPr>
            <w:r w:rsidRPr="00851125">
              <w:rPr>
                <w:rFonts w:ascii="Verdana" w:hAnsi="Verdana"/>
              </w:rPr>
              <w:t>NP: MA</w:t>
            </w:r>
          </w:p>
        </w:tc>
        <w:tc>
          <w:tcPr>
            <w:tcW w:w="3664" w:type="dxa"/>
            <w:shd w:val="clear" w:color="auto" w:fill="auto"/>
          </w:tcPr>
          <w:p w14:paraId="74CD2806" w14:textId="77777777" w:rsidR="00081CCE" w:rsidRPr="00AF03AD" w:rsidRDefault="00081CCE" w:rsidP="00081CCE">
            <w:pPr>
              <w:rPr>
                <w:rFonts w:ascii="Verdana" w:hAnsi="Verdana"/>
              </w:rPr>
            </w:pPr>
            <w:r w:rsidRPr="00AF03AD">
              <w:rPr>
                <w:rFonts w:ascii="Verdana" w:hAnsi="Verdana"/>
              </w:rPr>
              <w:t>No change</w:t>
            </w:r>
          </w:p>
          <w:p w14:paraId="7819FB4C" w14:textId="77777777" w:rsidR="00081CCE" w:rsidRPr="00AF03AD" w:rsidRDefault="00081CCE" w:rsidP="00081CCE">
            <w:pPr>
              <w:rPr>
                <w:rFonts w:ascii="Verdana" w:hAnsi="Verdana"/>
              </w:rPr>
            </w:pPr>
          </w:p>
        </w:tc>
      </w:tr>
      <w:tr w:rsidR="00081CCE" w:rsidRPr="00852F8C" w14:paraId="7FD52854" w14:textId="77777777" w:rsidTr="001F115A">
        <w:tc>
          <w:tcPr>
            <w:tcW w:w="3845" w:type="dxa"/>
            <w:shd w:val="clear" w:color="auto" w:fill="auto"/>
          </w:tcPr>
          <w:p w14:paraId="71BB1DA5" w14:textId="48214C1F" w:rsidR="00081CCE" w:rsidRPr="0000785E" w:rsidRDefault="00081CCE" w:rsidP="00081CCE">
            <w:pPr>
              <w:pStyle w:val="Default"/>
              <w:rPr>
                <w:rFonts w:ascii="Verdana" w:hAnsi="Verdana" w:cstheme="minorBidi"/>
                <w:color w:val="auto"/>
                <w:sz w:val="22"/>
                <w:szCs w:val="22"/>
                <w14:ligatures w14:val="none"/>
              </w:rPr>
            </w:pPr>
            <w:proofErr w:type="spellStart"/>
            <w:r w:rsidRPr="00851125">
              <w:rPr>
                <w:rFonts w:ascii="Verdana" w:hAnsi="Verdana"/>
                <w:b/>
                <w:bCs/>
                <w:sz w:val="22"/>
                <w:szCs w:val="22"/>
              </w:rPr>
              <w:lastRenderedPageBreak/>
              <w:t>Leqvio</w:t>
            </w:r>
            <w:proofErr w:type="spellEnd"/>
            <w:r w:rsidRPr="00851125">
              <w:rPr>
                <w:rFonts w:ascii="Verdana" w:hAnsi="Verdana"/>
                <w:b/>
                <w:bCs/>
                <w:sz w:val="22"/>
                <w:szCs w:val="22"/>
              </w:rPr>
              <w:t xml:space="preserve"> </w:t>
            </w:r>
            <w:r w:rsidRPr="00851125">
              <w:rPr>
                <w:rFonts w:ascii="Verdana" w:hAnsi="Verdana"/>
                <w:sz w:val="22"/>
                <w:szCs w:val="22"/>
              </w:rPr>
              <w:t>(</w:t>
            </w:r>
            <w:proofErr w:type="spellStart"/>
            <w:r w:rsidRPr="00851125">
              <w:rPr>
                <w:rFonts w:ascii="Verdana" w:hAnsi="Verdana"/>
                <w:sz w:val="22"/>
                <w:szCs w:val="22"/>
              </w:rPr>
              <w:t>inclisiran</w:t>
            </w:r>
            <w:proofErr w:type="spellEnd"/>
            <w:r w:rsidRPr="00851125">
              <w:rPr>
                <w:rFonts w:ascii="Verdana" w:hAnsi="Verdana"/>
                <w:sz w:val="22"/>
                <w:szCs w:val="22"/>
              </w:rPr>
              <w:t>) 284 mg/1.5 mL PFS indicated as an adjunct to diet &amp; exercise to reduce</w:t>
            </w:r>
            <w:r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851125">
              <w:rPr>
                <w:rFonts w:ascii="Verdana" w:hAnsi="Verdana"/>
                <w:sz w:val="22"/>
                <w:szCs w:val="22"/>
              </w:rPr>
              <w:t>LDL in adults with</w:t>
            </w:r>
            <w:r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851125">
              <w:rPr>
                <w:rFonts w:ascii="Verdana" w:hAnsi="Verdana"/>
                <w:sz w:val="22"/>
                <w:szCs w:val="22"/>
              </w:rPr>
              <w:t>hypercholesterolemia, including heterozygous familial hypercholesterolemia</w:t>
            </w:r>
          </w:p>
        </w:tc>
        <w:tc>
          <w:tcPr>
            <w:tcW w:w="3408" w:type="dxa"/>
            <w:shd w:val="clear" w:color="auto" w:fill="auto"/>
          </w:tcPr>
          <w:p w14:paraId="326D34FC" w14:textId="77777777" w:rsidR="00081CCE" w:rsidRPr="00AF03AD" w:rsidRDefault="00081CCE" w:rsidP="00081CCE">
            <w:pPr>
              <w:rPr>
                <w:rFonts w:ascii="Verdana" w:hAnsi="Verdana"/>
              </w:rPr>
            </w:pPr>
          </w:p>
        </w:tc>
        <w:tc>
          <w:tcPr>
            <w:tcW w:w="3664" w:type="dxa"/>
            <w:shd w:val="clear" w:color="auto" w:fill="auto"/>
          </w:tcPr>
          <w:p w14:paraId="7D855C65" w14:textId="77777777" w:rsidR="00081CCE" w:rsidRPr="00AF03AD" w:rsidRDefault="00081CCE" w:rsidP="00081CCE">
            <w:pPr>
              <w:rPr>
                <w:rFonts w:ascii="Verdana" w:hAnsi="Verdana"/>
              </w:rPr>
            </w:pPr>
            <w:r w:rsidRPr="00AF03AD">
              <w:rPr>
                <w:rFonts w:ascii="Verdana" w:hAnsi="Verdana"/>
              </w:rPr>
              <w:t>No change</w:t>
            </w:r>
          </w:p>
          <w:p w14:paraId="22966CB5" w14:textId="77777777" w:rsidR="00081CCE" w:rsidRPr="00AF03AD" w:rsidRDefault="00081CCE" w:rsidP="00081CCE">
            <w:pPr>
              <w:rPr>
                <w:rFonts w:ascii="Verdana" w:hAnsi="Verdana"/>
              </w:rPr>
            </w:pPr>
          </w:p>
        </w:tc>
      </w:tr>
      <w:tr w:rsidR="00081CCE" w:rsidRPr="00852F8C" w14:paraId="4C1157FE" w14:textId="77777777" w:rsidTr="001F115A">
        <w:tc>
          <w:tcPr>
            <w:tcW w:w="3845" w:type="dxa"/>
            <w:shd w:val="clear" w:color="auto" w:fill="auto"/>
          </w:tcPr>
          <w:p w14:paraId="73F80D4F" w14:textId="77777777" w:rsidR="00081CCE" w:rsidRPr="00851125" w:rsidRDefault="00081CCE" w:rsidP="00081CCE">
            <w:pPr>
              <w:pStyle w:val="Default"/>
              <w:rPr>
                <w:rFonts w:ascii="Verdana" w:hAnsi="Verdana"/>
                <w:b/>
                <w:bCs/>
                <w:sz w:val="22"/>
                <w:szCs w:val="22"/>
              </w:rPr>
            </w:pPr>
            <w:proofErr w:type="spellStart"/>
            <w:r w:rsidRPr="00851125">
              <w:rPr>
                <w:rFonts w:ascii="Verdana" w:hAnsi="Verdana"/>
                <w:b/>
                <w:bCs/>
                <w:sz w:val="22"/>
                <w:szCs w:val="22"/>
              </w:rPr>
              <w:t>Koselugo</w:t>
            </w:r>
            <w:proofErr w:type="spellEnd"/>
            <w:r w:rsidRPr="00851125">
              <w:rPr>
                <w:rFonts w:ascii="Verdana" w:hAnsi="Verdana"/>
                <w:b/>
                <w:bCs/>
                <w:sz w:val="22"/>
                <w:szCs w:val="22"/>
              </w:rPr>
              <w:t xml:space="preserve"> </w:t>
            </w:r>
            <w:r w:rsidRPr="00851125">
              <w:rPr>
                <w:rFonts w:ascii="Verdana" w:hAnsi="Verdana"/>
                <w:sz w:val="22"/>
                <w:szCs w:val="22"/>
              </w:rPr>
              <w:t>(selumetinib) 10 &amp; 25 mg capsules and 5 &amp; 7.5 mg oral sprinkle capsules for pediatric patients ≥ 1 year of age with neurofibromatosis type 1</w:t>
            </w:r>
          </w:p>
          <w:p w14:paraId="2987B41C" w14:textId="5EBBA4AD" w:rsidR="00081CCE" w:rsidRPr="0000785E" w:rsidRDefault="00081CCE" w:rsidP="00081CCE">
            <w:pPr>
              <w:pStyle w:val="Default"/>
              <w:rPr>
                <w:rFonts w:ascii="Verdana" w:hAnsi="Verdana" w:cstheme="minorBidi"/>
                <w:color w:val="auto"/>
                <w:sz w:val="22"/>
                <w:szCs w:val="22"/>
                <w14:ligatures w14:val="none"/>
              </w:rPr>
            </w:pPr>
          </w:p>
        </w:tc>
        <w:tc>
          <w:tcPr>
            <w:tcW w:w="3408" w:type="dxa"/>
            <w:shd w:val="clear" w:color="auto" w:fill="auto"/>
          </w:tcPr>
          <w:p w14:paraId="1A1F426F" w14:textId="77777777" w:rsidR="00081CCE" w:rsidRPr="00851125" w:rsidRDefault="00081CCE" w:rsidP="00081CCE">
            <w:pPr>
              <w:rPr>
                <w:rFonts w:ascii="Verdana" w:hAnsi="Verdana"/>
              </w:rPr>
            </w:pPr>
            <w:r w:rsidRPr="00851125">
              <w:rPr>
                <w:rFonts w:ascii="Verdana" w:hAnsi="Verdana"/>
              </w:rPr>
              <w:t>F: all lines of business</w:t>
            </w:r>
          </w:p>
          <w:p w14:paraId="56156AB1" w14:textId="334A091B" w:rsidR="00081CCE" w:rsidRPr="00AF03AD" w:rsidRDefault="00081CCE" w:rsidP="00081CCE">
            <w:pPr>
              <w:rPr>
                <w:rFonts w:ascii="Verdana" w:hAnsi="Verdana"/>
              </w:rPr>
            </w:pPr>
          </w:p>
        </w:tc>
        <w:tc>
          <w:tcPr>
            <w:tcW w:w="3664" w:type="dxa"/>
            <w:shd w:val="clear" w:color="auto" w:fill="auto"/>
          </w:tcPr>
          <w:p w14:paraId="00369664" w14:textId="77777777" w:rsidR="00081CCE" w:rsidRPr="00AF03AD" w:rsidRDefault="00081CCE" w:rsidP="00081CCE">
            <w:pPr>
              <w:rPr>
                <w:rFonts w:ascii="Verdana" w:hAnsi="Verdana"/>
              </w:rPr>
            </w:pPr>
            <w:r w:rsidRPr="00AF03AD">
              <w:rPr>
                <w:rFonts w:ascii="Verdana" w:hAnsi="Verdana"/>
              </w:rPr>
              <w:t>No change</w:t>
            </w:r>
          </w:p>
          <w:p w14:paraId="0EAADDF2" w14:textId="77777777" w:rsidR="00081CCE" w:rsidRPr="00AF03AD" w:rsidRDefault="00081CCE" w:rsidP="00081CCE">
            <w:pPr>
              <w:rPr>
                <w:rFonts w:ascii="Verdana" w:hAnsi="Verdana"/>
              </w:rPr>
            </w:pPr>
          </w:p>
        </w:tc>
      </w:tr>
      <w:tr w:rsidR="00081CCE" w:rsidRPr="00852F8C" w14:paraId="21A8E4DC" w14:textId="77777777" w:rsidTr="001F115A">
        <w:tc>
          <w:tcPr>
            <w:tcW w:w="3845" w:type="dxa"/>
            <w:shd w:val="clear" w:color="auto" w:fill="auto"/>
          </w:tcPr>
          <w:p w14:paraId="0041028C" w14:textId="77777777" w:rsidR="00081CCE" w:rsidRPr="00851125" w:rsidRDefault="00081CCE" w:rsidP="00081CCE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proofErr w:type="spellStart"/>
            <w:r w:rsidRPr="00851125">
              <w:rPr>
                <w:rFonts w:ascii="Verdana" w:hAnsi="Verdana"/>
                <w:b/>
                <w:bCs/>
                <w:sz w:val="22"/>
                <w:szCs w:val="22"/>
              </w:rPr>
              <w:t>Vonvendi</w:t>
            </w:r>
            <w:proofErr w:type="spellEnd"/>
            <w:r w:rsidRPr="00851125">
              <w:rPr>
                <w:rFonts w:ascii="Verdana" w:hAnsi="Verdana"/>
                <w:sz w:val="22"/>
                <w:szCs w:val="22"/>
              </w:rPr>
              <w:t xml:space="preserve"> (von Willebrand factor [recombinant]) 650 &amp; 1300-unit IV vials for routine prophylactic use in adults with all types of von Willebrand disease (VWD) and treatment of bleeding episodes and perioperative use in pediatric patients - expanded indications</w:t>
            </w:r>
          </w:p>
          <w:p w14:paraId="0475C968" w14:textId="5FA96972" w:rsidR="00081CCE" w:rsidRPr="0000785E" w:rsidRDefault="00081CCE" w:rsidP="00081CCE">
            <w:pPr>
              <w:pStyle w:val="Default"/>
              <w:rPr>
                <w:rFonts w:ascii="Verdana" w:hAnsi="Verdana" w:cstheme="minorBidi"/>
                <w:color w:val="auto"/>
                <w:sz w:val="22"/>
                <w:szCs w:val="22"/>
                <w14:ligatures w14:val="none"/>
              </w:rPr>
            </w:pPr>
          </w:p>
        </w:tc>
        <w:tc>
          <w:tcPr>
            <w:tcW w:w="3408" w:type="dxa"/>
            <w:shd w:val="clear" w:color="auto" w:fill="auto"/>
          </w:tcPr>
          <w:p w14:paraId="07FE94C3" w14:textId="77777777" w:rsidR="00081CCE" w:rsidRPr="00851125" w:rsidRDefault="00081CCE" w:rsidP="00081CCE">
            <w:pPr>
              <w:rPr>
                <w:rFonts w:ascii="Verdana" w:hAnsi="Verdana"/>
              </w:rPr>
            </w:pPr>
            <w:r w:rsidRPr="00851125">
              <w:rPr>
                <w:rFonts w:ascii="Verdana" w:hAnsi="Verdana"/>
              </w:rPr>
              <w:t xml:space="preserve">NF: </w:t>
            </w:r>
            <w:proofErr w:type="spellStart"/>
            <w:r w:rsidRPr="00851125">
              <w:rPr>
                <w:rFonts w:ascii="Verdana" w:hAnsi="Verdana"/>
              </w:rPr>
              <w:t>MedD</w:t>
            </w:r>
            <w:proofErr w:type="spellEnd"/>
            <w:r w:rsidRPr="00851125">
              <w:rPr>
                <w:rFonts w:ascii="Verdana" w:hAnsi="Verdana"/>
              </w:rPr>
              <w:t>, PPO, IFP</w:t>
            </w:r>
          </w:p>
          <w:p w14:paraId="4C9DA36D" w14:textId="77777777" w:rsidR="00081CCE" w:rsidRPr="00851125" w:rsidRDefault="00081CCE" w:rsidP="00081CCE">
            <w:pPr>
              <w:rPr>
                <w:rFonts w:ascii="Verdana" w:hAnsi="Verdana"/>
              </w:rPr>
            </w:pPr>
            <w:r w:rsidRPr="00851125">
              <w:rPr>
                <w:rFonts w:ascii="Verdana" w:hAnsi="Verdana"/>
              </w:rPr>
              <w:t>PDL: MA</w:t>
            </w:r>
          </w:p>
          <w:p w14:paraId="35BC5E98" w14:textId="77777777" w:rsidR="00081CCE" w:rsidRPr="00AF03AD" w:rsidRDefault="00081CCE" w:rsidP="00081CCE">
            <w:pPr>
              <w:rPr>
                <w:rFonts w:ascii="Verdana" w:hAnsi="Verdana"/>
              </w:rPr>
            </w:pPr>
          </w:p>
        </w:tc>
        <w:tc>
          <w:tcPr>
            <w:tcW w:w="3664" w:type="dxa"/>
            <w:shd w:val="clear" w:color="auto" w:fill="auto"/>
          </w:tcPr>
          <w:p w14:paraId="49342C01" w14:textId="77777777" w:rsidR="00081CCE" w:rsidRPr="00AF03AD" w:rsidRDefault="00081CCE" w:rsidP="00081CCE">
            <w:pPr>
              <w:rPr>
                <w:rFonts w:ascii="Verdana" w:hAnsi="Verdana"/>
              </w:rPr>
            </w:pPr>
            <w:r w:rsidRPr="00AF03AD">
              <w:rPr>
                <w:rFonts w:ascii="Verdana" w:hAnsi="Verdana"/>
              </w:rPr>
              <w:t>No change</w:t>
            </w:r>
          </w:p>
          <w:p w14:paraId="1685AF75" w14:textId="77777777" w:rsidR="00081CCE" w:rsidRPr="00AF03AD" w:rsidRDefault="00081CCE" w:rsidP="00081CCE">
            <w:pPr>
              <w:rPr>
                <w:rFonts w:ascii="Verdana" w:hAnsi="Verdana"/>
              </w:rPr>
            </w:pPr>
          </w:p>
        </w:tc>
      </w:tr>
      <w:tr w:rsidR="00081CCE" w:rsidRPr="00852F8C" w14:paraId="5D030395" w14:textId="77777777" w:rsidTr="001F115A">
        <w:tc>
          <w:tcPr>
            <w:tcW w:w="3845" w:type="dxa"/>
            <w:shd w:val="clear" w:color="auto" w:fill="auto"/>
          </w:tcPr>
          <w:p w14:paraId="7CE2438D" w14:textId="74F88643" w:rsidR="00081CCE" w:rsidRPr="0000785E" w:rsidRDefault="00081CCE" w:rsidP="00081CCE">
            <w:pPr>
              <w:rPr>
                <w:rFonts w:ascii="Verdana" w:hAnsi="Verdana"/>
              </w:rPr>
            </w:pPr>
            <w:proofErr w:type="spellStart"/>
            <w:r w:rsidRPr="00851125">
              <w:rPr>
                <w:rFonts w:ascii="Verdana" w:hAnsi="Verdana"/>
                <w:b/>
                <w:bCs/>
              </w:rPr>
              <w:t>Opzelura</w:t>
            </w:r>
            <w:proofErr w:type="spellEnd"/>
            <w:r w:rsidRPr="00851125">
              <w:rPr>
                <w:rFonts w:ascii="Verdana" w:hAnsi="Verdana"/>
              </w:rPr>
              <w:t xml:space="preserve"> (</w:t>
            </w:r>
            <w:proofErr w:type="spellStart"/>
            <w:r w:rsidRPr="00851125">
              <w:rPr>
                <w:rFonts w:ascii="Verdana" w:hAnsi="Verdana"/>
              </w:rPr>
              <w:t>ruxolitinib</w:t>
            </w:r>
            <w:proofErr w:type="spellEnd"/>
            <w:r w:rsidRPr="00851125">
              <w:rPr>
                <w:rFonts w:ascii="Verdana" w:hAnsi="Verdana"/>
              </w:rPr>
              <w:t>) 1.5% cream for atopic dermatitis in pediatric patients ≥ 2 years of age</w:t>
            </w:r>
          </w:p>
        </w:tc>
        <w:tc>
          <w:tcPr>
            <w:tcW w:w="3408" w:type="dxa"/>
            <w:shd w:val="clear" w:color="auto" w:fill="auto"/>
          </w:tcPr>
          <w:p w14:paraId="12634536" w14:textId="77777777" w:rsidR="00081CCE" w:rsidRPr="00851125" w:rsidRDefault="00081CCE" w:rsidP="00081CCE">
            <w:pPr>
              <w:rPr>
                <w:rFonts w:ascii="Verdana" w:hAnsi="Verdana"/>
              </w:rPr>
            </w:pPr>
            <w:r w:rsidRPr="00851125">
              <w:rPr>
                <w:rFonts w:ascii="Verdana" w:hAnsi="Verdana"/>
              </w:rPr>
              <w:t xml:space="preserve">NF: </w:t>
            </w:r>
            <w:proofErr w:type="spellStart"/>
            <w:r w:rsidRPr="00851125">
              <w:rPr>
                <w:rFonts w:ascii="Verdana" w:hAnsi="Verdana"/>
              </w:rPr>
              <w:t>MedD</w:t>
            </w:r>
            <w:proofErr w:type="spellEnd"/>
            <w:r w:rsidRPr="00851125">
              <w:rPr>
                <w:rFonts w:ascii="Verdana" w:hAnsi="Verdana"/>
              </w:rPr>
              <w:t>, PPO, IFP</w:t>
            </w:r>
          </w:p>
          <w:p w14:paraId="0562E829" w14:textId="77777777" w:rsidR="00081CCE" w:rsidRPr="00851125" w:rsidRDefault="00081CCE" w:rsidP="00081CCE">
            <w:pPr>
              <w:rPr>
                <w:rFonts w:ascii="Verdana" w:hAnsi="Verdana"/>
              </w:rPr>
            </w:pPr>
            <w:r w:rsidRPr="00851125">
              <w:rPr>
                <w:rFonts w:ascii="Verdana" w:hAnsi="Verdana"/>
              </w:rPr>
              <w:t>NP: MA</w:t>
            </w:r>
          </w:p>
          <w:p w14:paraId="0F468338" w14:textId="77777777" w:rsidR="00081CCE" w:rsidRPr="00AF03AD" w:rsidRDefault="00081CCE" w:rsidP="00081CCE">
            <w:pPr>
              <w:rPr>
                <w:rFonts w:ascii="Verdana" w:hAnsi="Verdana"/>
              </w:rPr>
            </w:pPr>
          </w:p>
        </w:tc>
        <w:tc>
          <w:tcPr>
            <w:tcW w:w="3664" w:type="dxa"/>
            <w:shd w:val="clear" w:color="auto" w:fill="auto"/>
          </w:tcPr>
          <w:p w14:paraId="71890C9C" w14:textId="77777777" w:rsidR="00081CCE" w:rsidRPr="00AF03AD" w:rsidRDefault="00081CCE" w:rsidP="00081CCE">
            <w:pPr>
              <w:rPr>
                <w:rFonts w:ascii="Verdana" w:hAnsi="Verdana"/>
              </w:rPr>
            </w:pPr>
            <w:r w:rsidRPr="00AF03AD">
              <w:rPr>
                <w:rFonts w:ascii="Verdana" w:hAnsi="Verdana"/>
              </w:rPr>
              <w:t>No change</w:t>
            </w:r>
          </w:p>
          <w:p w14:paraId="1F24ACB9" w14:textId="77777777" w:rsidR="00081CCE" w:rsidRPr="00AF03AD" w:rsidRDefault="00081CCE" w:rsidP="00081CCE">
            <w:pPr>
              <w:rPr>
                <w:rFonts w:ascii="Verdana" w:hAnsi="Verdana"/>
              </w:rPr>
            </w:pPr>
          </w:p>
        </w:tc>
      </w:tr>
      <w:tr w:rsidR="00081CCE" w:rsidRPr="00852F8C" w14:paraId="215003E8" w14:textId="77777777" w:rsidTr="001F115A">
        <w:tc>
          <w:tcPr>
            <w:tcW w:w="3845" w:type="dxa"/>
            <w:shd w:val="clear" w:color="auto" w:fill="auto"/>
          </w:tcPr>
          <w:p w14:paraId="24C93C76" w14:textId="77777777" w:rsidR="00081CCE" w:rsidRPr="00851125" w:rsidRDefault="00081CCE" w:rsidP="00081CCE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proofErr w:type="spellStart"/>
            <w:r w:rsidRPr="00851125">
              <w:rPr>
                <w:rFonts w:ascii="Verdana" w:hAnsi="Verdana"/>
                <w:b/>
                <w:bCs/>
                <w:sz w:val="22"/>
                <w:szCs w:val="22"/>
              </w:rPr>
              <w:t>Empaveli</w:t>
            </w:r>
            <w:proofErr w:type="spellEnd"/>
            <w:r w:rsidRPr="00851125">
              <w:rPr>
                <w:rFonts w:ascii="Verdana" w:hAnsi="Verdana"/>
                <w:sz w:val="22"/>
                <w:szCs w:val="22"/>
              </w:rPr>
              <w:t xml:space="preserve"> (</w:t>
            </w:r>
            <w:proofErr w:type="spellStart"/>
            <w:r w:rsidRPr="00851125">
              <w:rPr>
                <w:rFonts w:ascii="Verdana" w:hAnsi="Verdana"/>
                <w:sz w:val="22"/>
                <w:szCs w:val="22"/>
              </w:rPr>
              <w:t>pegcetacoplan</w:t>
            </w:r>
            <w:proofErr w:type="spellEnd"/>
            <w:r w:rsidRPr="00851125">
              <w:rPr>
                <w:rFonts w:ascii="Verdana" w:hAnsi="Verdana"/>
                <w:sz w:val="22"/>
                <w:szCs w:val="22"/>
              </w:rPr>
              <w:t>) 1,080 mg/20 mL SQ vial to reduce proteinuria in C3 glomerulopathy or primary immune-complex glomerulonephritis for relapsed or</w:t>
            </w:r>
          </w:p>
          <w:p w14:paraId="5721505C" w14:textId="77777777" w:rsidR="00081CCE" w:rsidRPr="00851125" w:rsidRDefault="00081CCE" w:rsidP="00081CCE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851125">
              <w:rPr>
                <w:rFonts w:ascii="Verdana" w:hAnsi="Verdana"/>
                <w:sz w:val="22"/>
                <w:szCs w:val="22"/>
              </w:rPr>
              <w:t>refractory follicular lymphoma</w:t>
            </w:r>
          </w:p>
          <w:p w14:paraId="3947B66E" w14:textId="0C1F38FD" w:rsidR="00081CCE" w:rsidRPr="0000785E" w:rsidRDefault="00081CCE" w:rsidP="00081CCE">
            <w:pPr>
              <w:pStyle w:val="Default"/>
              <w:rPr>
                <w:rFonts w:ascii="Verdana" w:hAnsi="Verdana" w:cstheme="minorBidi"/>
                <w:color w:val="auto"/>
                <w:sz w:val="22"/>
                <w:szCs w:val="22"/>
                <w14:ligatures w14:val="none"/>
              </w:rPr>
            </w:pPr>
          </w:p>
        </w:tc>
        <w:tc>
          <w:tcPr>
            <w:tcW w:w="3408" w:type="dxa"/>
            <w:shd w:val="clear" w:color="auto" w:fill="auto"/>
          </w:tcPr>
          <w:p w14:paraId="0F2E68CA" w14:textId="4EC39497" w:rsidR="00081CCE" w:rsidRPr="00AF03AD" w:rsidRDefault="00081CCE" w:rsidP="00081CCE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NF: All lines of business</w:t>
            </w:r>
          </w:p>
        </w:tc>
        <w:tc>
          <w:tcPr>
            <w:tcW w:w="3664" w:type="dxa"/>
            <w:shd w:val="clear" w:color="auto" w:fill="auto"/>
          </w:tcPr>
          <w:p w14:paraId="31B5BAA1" w14:textId="77777777" w:rsidR="00081CCE" w:rsidRPr="00AF03AD" w:rsidRDefault="00081CCE" w:rsidP="00081CCE">
            <w:pPr>
              <w:rPr>
                <w:rFonts w:ascii="Verdana" w:hAnsi="Verdana"/>
              </w:rPr>
            </w:pPr>
            <w:r w:rsidRPr="00AF03AD">
              <w:rPr>
                <w:rFonts w:ascii="Verdana" w:hAnsi="Verdana"/>
              </w:rPr>
              <w:t>No change</w:t>
            </w:r>
          </w:p>
          <w:p w14:paraId="0276C429" w14:textId="77777777" w:rsidR="00081CCE" w:rsidRPr="00AF03AD" w:rsidRDefault="00081CCE" w:rsidP="00081CCE">
            <w:pPr>
              <w:rPr>
                <w:rFonts w:ascii="Verdana" w:hAnsi="Verdana"/>
              </w:rPr>
            </w:pPr>
          </w:p>
        </w:tc>
      </w:tr>
      <w:tr w:rsidR="00081CCE" w:rsidRPr="00852F8C" w14:paraId="7C8936F3" w14:textId="77777777" w:rsidTr="001F115A">
        <w:tc>
          <w:tcPr>
            <w:tcW w:w="3845" w:type="dxa"/>
            <w:shd w:val="clear" w:color="auto" w:fill="auto"/>
          </w:tcPr>
          <w:p w14:paraId="493CEF4E" w14:textId="77777777" w:rsidR="00081CCE" w:rsidRPr="00851125" w:rsidRDefault="00081CCE" w:rsidP="00081CCE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proofErr w:type="spellStart"/>
            <w:r w:rsidRPr="00851125">
              <w:rPr>
                <w:rFonts w:ascii="Verdana" w:hAnsi="Verdana"/>
                <w:b/>
                <w:bCs/>
                <w:sz w:val="22"/>
                <w:szCs w:val="22"/>
              </w:rPr>
              <w:t>Evkeeza</w:t>
            </w:r>
            <w:proofErr w:type="spellEnd"/>
            <w:r w:rsidRPr="00851125">
              <w:rPr>
                <w:rFonts w:ascii="Verdana" w:hAnsi="Verdana"/>
                <w:sz w:val="22"/>
                <w:szCs w:val="22"/>
              </w:rPr>
              <w:t xml:space="preserve"> (</w:t>
            </w:r>
            <w:proofErr w:type="spellStart"/>
            <w:r w:rsidRPr="00851125">
              <w:rPr>
                <w:rFonts w:ascii="Verdana" w:hAnsi="Verdana"/>
                <w:sz w:val="22"/>
                <w:szCs w:val="22"/>
              </w:rPr>
              <w:t>evinacumab</w:t>
            </w:r>
            <w:proofErr w:type="spellEnd"/>
            <w:r w:rsidRPr="00851125">
              <w:rPr>
                <w:rFonts w:ascii="Verdana" w:hAnsi="Verdana"/>
                <w:sz w:val="22"/>
                <w:szCs w:val="22"/>
              </w:rPr>
              <w:t>) 150 mg/mL IV vials to reduce LDL-C in adults &amp; pediatric patients ≥ 1 year with homozygous familial hypercholesterolemia - age expansion</w:t>
            </w:r>
          </w:p>
          <w:p w14:paraId="04859285" w14:textId="57CD3277" w:rsidR="00081CCE" w:rsidRPr="0000785E" w:rsidRDefault="00081CCE" w:rsidP="00081CCE">
            <w:pPr>
              <w:pStyle w:val="Default"/>
              <w:rPr>
                <w:rFonts w:ascii="Verdana" w:hAnsi="Verdana" w:cstheme="minorBidi"/>
                <w:color w:val="auto"/>
                <w:sz w:val="22"/>
                <w:szCs w:val="22"/>
                <w14:ligatures w14:val="none"/>
              </w:rPr>
            </w:pPr>
          </w:p>
        </w:tc>
        <w:tc>
          <w:tcPr>
            <w:tcW w:w="3408" w:type="dxa"/>
            <w:shd w:val="clear" w:color="auto" w:fill="auto"/>
          </w:tcPr>
          <w:p w14:paraId="435CF61E" w14:textId="77777777" w:rsidR="00081CCE" w:rsidRPr="00851125" w:rsidRDefault="00081CCE" w:rsidP="00081CCE">
            <w:pPr>
              <w:rPr>
                <w:rFonts w:ascii="Verdana" w:hAnsi="Verdana"/>
              </w:rPr>
            </w:pPr>
            <w:r w:rsidRPr="00851125">
              <w:rPr>
                <w:rFonts w:ascii="Verdana" w:hAnsi="Verdana"/>
              </w:rPr>
              <w:t xml:space="preserve">NF: </w:t>
            </w:r>
            <w:proofErr w:type="spellStart"/>
            <w:r w:rsidRPr="00851125">
              <w:rPr>
                <w:rFonts w:ascii="Verdana" w:hAnsi="Verdana"/>
              </w:rPr>
              <w:t>MedD</w:t>
            </w:r>
            <w:proofErr w:type="spellEnd"/>
            <w:r w:rsidRPr="00851125">
              <w:rPr>
                <w:rFonts w:ascii="Verdana" w:hAnsi="Verdana"/>
              </w:rPr>
              <w:t>, PPO, IFP</w:t>
            </w:r>
          </w:p>
          <w:p w14:paraId="605AA820" w14:textId="77777777" w:rsidR="00081CCE" w:rsidRPr="00851125" w:rsidRDefault="00081CCE" w:rsidP="00081CCE">
            <w:pPr>
              <w:rPr>
                <w:rFonts w:ascii="Verdana" w:hAnsi="Verdana"/>
              </w:rPr>
            </w:pPr>
            <w:r w:rsidRPr="00851125">
              <w:rPr>
                <w:rFonts w:ascii="Verdana" w:hAnsi="Verdana"/>
              </w:rPr>
              <w:t>NP: MA</w:t>
            </w:r>
          </w:p>
          <w:p w14:paraId="1352B649" w14:textId="24D9EFB1" w:rsidR="00081CCE" w:rsidRPr="00AF03AD" w:rsidRDefault="00081CCE" w:rsidP="00081CCE">
            <w:pPr>
              <w:rPr>
                <w:rFonts w:ascii="Verdana" w:hAnsi="Verdana"/>
              </w:rPr>
            </w:pPr>
          </w:p>
        </w:tc>
        <w:tc>
          <w:tcPr>
            <w:tcW w:w="3664" w:type="dxa"/>
            <w:shd w:val="clear" w:color="auto" w:fill="auto"/>
          </w:tcPr>
          <w:p w14:paraId="23C57301" w14:textId="77777777" w:rsidR="00081CCE" w:rsidRPr="00AF03AD" w:rsidRDefault="00081CCE" w:rsidP="00081CCE">
            <w:pPr>
              <w:rPr>
                <w:rFonts w:ascii="Verdana" w:hAnsi="Verdana"/>
              </w:rPr>
            </w:pPr>
            <w:r w:rsidRPr="00AF03AD">
              <w:rPr>
                <w:rFonts w:ascii="Verdana" w:hAnsi="Verdana"/>
              </w:rPr>
              <w:t>No change</w:t>
            </w:r>
          </w:p>
          <w:p w14:paraId="6727CA4F" w14:textId="77777777" w:rsidR="00081CCE" w:rsidRPr="00AF03AD" w:rsidRDefault="00081CCE" w:rsidP="00081CCE">
            <w:pPr>
              <w:rPr>
                <w:rFonts w:ascii="Verdana" w:hAnsi="Verdana"/>
              </w:rPr>
            </w:pPr>
          </w:p>
        </w:tc>
      </w:tr>
      <w:tr w:rsidR="00081CCE" w:rsidRPr="00852F8C" w14:paraId="503A1F1B" w14:textId="77777777" w:rsidTr="001F115A">
        <w:tc>
          <w:tcPr>
            <w:tcW w:w="3845" w:type="dxa"/>
            <w:shd w:val="clear" w:color="auto" w:fill="auto"/>
          </w:tcPr>
          <w:p w14:paraId="15553B4D" w14:textId="77777777" w:rsidR="00081CCE" w:rsidRPr="00851125" w:rsidRDefault="00081CCE" w:rsidP="00081CCE">
            <w:pPr>
              <w:pStyle w:val="Default"/>
              <w:rPr>
                <w:rFonts w:ascii="Verdana" w:hAnsi="Verdana"/>
                <w:b/>
                <w:bCs/>
                <w:sz w:val="22"/>
                <w:szCs w:val="22"/>
              </w:rPr>
            </w:pPr>
            <w:proofErr w:type="spellStart"/>
            <w:r w:rsidRPr="00851125">
              <w:rPr>
                <w:rFonts w:ascii="Verdana" w:hAnsi="Verdana"/>
                <w:b/>
                <w:bCs/>
                <w:sz w:val="22"/>
                <w:szCs w:val="22"/>
              </w:rPr>
              <w:t>Libtayo</w:t>
            </w:r>
            <w:proofErr w:type="spellEnd"/>
            <w:r w:rsidRPr="00851125">
              <w:rPr>
                <w:rFonts w:ascii="Verdana" w:hAnsi="Verdana"/>
                <w:b/>
                <w:bCs/>
                <w:sz w:val="22"/>
                <w:szCs w:val="22"/>
              </w:rPr>
              <w:t xml:space="preserve"> </w:t>
            </w:r>
            <w:r w:rsidRPr="00851125">
              <w:rPr>
                <w:rFonts w:ascii="Verdana" w:hAnsi="Verdana"/>
                <w:sz w:val="22"/>
                <w:szCs w:val="22"/>
              </w:rPr>
              <w:t>(</w:t>
            </w:r>
            <w:proofErr w:type="spellStart"/>
            <w:r w:rsidRPr="00851125">
              <w:rPr>
                <w:rFonts w:ascii="Verdana" w:hAnsi="Verdana"/>
                <w:sz w:val="22"/>
                <w:szCs w:val="22"/>
              </w:rPr>
              <w:t>cemiplimab</w:t>
            </w:r>
            <w:proofErr w:type="spellEnd"/>
            <w:r w:rsidRPr="00851125">
              <w:rPr>
                <w:rFonts w:ascii="Verdana" w:hAnsi="Verdana"/>
                <w:sz w:val="22"/>
                <w:szCs w:val="22"/>
              </w:rPr>
              <w:t xml:space="preserve">) 350 mg/7 mL IV vials for adjuvant </w:t>
            </w:r>
            <w:r w:rsidRPr="00851125">
              <w:rPr>
                <w:rFonts w:ascii="Verdana" w:hAnsi="Verdana"/>
                <w:sz w:val="22"/>
                <w:szCs w:val="22"/>
              </w:rPr>
              <w:lastRenderedPageBreak/>
              <w:t>treatment of cutaneous squamous cell carcinoma at high risk of recurrence after surgery and radiation</w:t>
            </w:r>
          </w:p>
          <w:p w14:paraId="67CE7B4A" w14:textId="40158F20" w:rsidR="00081CCE" w:rsidRPr="0000785E" w:rsidRDefault="00081CCE" w:rsidP="00081CCE">
            <w:pPr>
              <w:pStyle w:val="Default"/>
              <w:rPr>
                <w:rFonts w:ascii="Verdana" w:hAnsi="Verdana" w:cstheme="minorBidi"/>
                <w:color w:val="auto"/>
                <w:sz w:val="22"/>
                <w:szCs w:val="22"/>
                <w14:ligatures w14:val="none"/>
              </w:rPr>
            </w:pPr>
          </w:p>
        </w:tc>
        <w:tc>
          <w:tcPr>
            <w:tcW w:w="3408" w:type="dxa"/>
            <w:shd w:val="clear" w:color="auto" w:fill="auto"/>
          </w:tcPr>
          <w:p w14:paraId="775CC2C9" w14:textId="40F5C2E8" w:rsidR="00081CCE" w:rsidRPr="00AF03AD" w:rsidRDefault="00081CCE" w:rsidP="00081CCE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lastRenderedPageBreak/>
              <w:t>NF: All lines of business</w:t>
            </w:r>
          </w:p>
        </w:tc>
        <w:tc>
          <w:tcPr>
            <w:tcW w:w="3664" w:type="dxa"/>
            <w:shd w:val="clear" w:color="auto" w:fill="auto"/>
          </w:tcPr>
          <w:p w14:paraId="3D9F28FF" w14:textId="77777777" w:rsidR="00081CCE" w:rsidRPr="00AF03AD" w:rsidRDefault="00081CCE" w:rsidP="00081CCE">
            <w:pPr>
              <w:rPr>
                <w:rFonts w:ascii="Verdana" w:hAnsi="Verdana"/>
              </w:rPr>
            </w:pPr>
            <w:r w:rsidRPr="00AF03AD">
              <w:rPr>
                <w:rFonts w:ascii="Verdana" w:hAnsi="Verdana"/>
              </w:rPr>
              <w:t>No change</w:t>
            </w:r>
          </w:p>
          <w:p w14:paraId="3CA9915B" w14:textId="77777777" w:rsidR="00081CCE" w:rsidRPr="00AF03AD" w:rsidRDefault="00081CCE" w:rsidP="00081CCE">
            <w:pPr>
              <w:rPr>
                <w:rFonts w:ascii="Verdana" w:hAnsi="Verdana"/>
              </w:rPr>
            </w:pPr>
          </w:p>
        </w:tc>
      </w:tr>
      <w:tr w:rsidR="00081CCE" w:rsidRPr="00852F8C" w14:paraId="2CADF6B0" w14:textId="77777777" w:rsidTr="001F115A">
        <w:tc>
          <w:tcPr>
            <w:tcW w:w="3845" w:type="dxa"/>
            <w:shd w:val="clear" w:color="auto" w:fill="auto"/>
          </w:tcPr>
          <w:p w14:paraId="00C80469" w14:textId="23CCFB7E" w:rsidR="00081CCE" w:rsidRPr="0000785E" w:rsidRDefault="00081CCE" w:rsidP="00081CCE">
            <w:pPr>
              <w:pStyle w:val="Default"/>
              <w:rPr>
                <w:rFonts w:ascii="Verdana" w:hAnsi="Verdana" w:cstheme="minorBidi"/>
                <w:color w:val="auto"/>
                <w:sz w:val="22"/>
                <w:szCs w:val="22"/>
                <w14:ligatures w14:val="none"/>
              </w:rPr>
            </w:pPr>
            <w:proofErr w:type="spellStart"/>
            <w:r w:rsidRPr="00851125">
              <w:rPr>
                <w:rFonts w:ascii="Verdana" w:hAnsi="Verdana"/>
                <w:b/>
                <w:bCs/>
                <w:sz w:val="22"/>
                <w:szCs w:val="22"/>
              </w:rPr>
              <w:t>Tecentriq</w:t>
            </w:r>
            <w:proofErr w:type="spellEnd"/>
            <w:r w:rsidRPr="00851125">
              <w:rPr>
                <w:rFonts w:ascii="Verdana" w:hAnsi="Verdana"/>
                <w:b/>
                <w:bCs/>
                <w:sz w:val="22"/>
                <w:szCs w:val="22"/>
              </w:rPr>
              <w:t>/</w:t>
            </w:r>
            <w:proofErr w:type="spellStart"/>
            <w:r w:rsidRPr="00851125">
              <w:rPr>
                <w:rFonts w:ascii="Verdana" w:hAnsi="Verdana"/>
                <w:b/>
                <w:bCs/>
                <w:sz w:val="22"/>
                <w:szCs w:val="22"/>
              </w:rPr>
              <w:t>Tecentriq</w:t>
            </w:r>
            <w:proofErr w:type="spellEnd"/>
            <w:r w:rsidRPr="00851125">
              <w:rPr>
                <w:rFonts w:ascii="Verdana" w:hAnsi="Verdan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51125">
              <w:rPr>
                <w:rFonts w:ascii="Verdana" w:hAnsi="Verdana"/>
                <w:b/>
                <w:bCs/>
                <w:sz w:val="22"/>
                <w:szCs w:val="22"/>
              </w:rPr>
              <w:t>Hybreza</w:t>
            </w:r>
            <w:proofErr w:type="spellEnd"/>
            <w:r w:rsidRPr="00851125">
              <w:rPr>
                <w:rFonts w:ascii="Verdana" w:hAnsi="Verdana"/>
                <w:sz w:val="22"/>
                <w:szCs w:val="22"/>
              </w:rPr>
              <w:t xml:space="preserve"> (atezolizumab ± hyaluronidase) and </w:t>
            </w:r>
            <w:proofErr w:type="spellStart"/>
            <w:r w:rsidRPr="00851125">
              <w:rPr>
                <w:rFonts w:ascii="Verdana" w:hAnsi="Verdana"/>
                <w:sz w:val="22"/>
                <w:szCs w:val="22"/>
              </w:rPr>
              <w:t>Zepzelca</w:t>
            </w:r>
            <w:proofErr w:type="spellEnd"/>
            <w:r w:rsidRPr="00851125">
              <w:rPr>
                <w:rFonts w:ascii="Verdana" w:hAnsi="Verdana"/>
                <w:sz w:val="22"/>
                <w:szCs w:val="22"/>
              </w:rPr>
              <w:t xml:space="preserve"> in combination for extensive-stage small cell lung cancer whose disease has not progressed after first-line induction with atezolizumab ± hyaluronidase, carboplatin, &amp; etoposide</w:t>
            </w:r>
          </w:p>
        </w:tc>
        <w:tc>
          <w:tcPr>
            <w:tcW w:w="3408" w:type="dxa"/>
            <w:shd w:val="clear" w:color="auto" w:fill="auto"/>
          </w:tcPr>
          <w:p w14:paraId="79415523" w14:textId="77777777" w:rsidR="00081CCE" w:rsidRPr="00851125" w:rsidRDefault="00081CCE" w:rsidP="00081CCE">
            <w:pPr>
              <w:rPr>
                <w:rFonts w:ascii="Verdana" w:hAnsi="Verdana"/>
              </w:rPr>
            </w:pPr>
            <w:r w:rsidRPr="00851125">
              <w:rPr>
                <w:rFonts w:ascii="Verdana" w:hAnsi="Verdana"/>
              </w:rPr>
              <w:t>NF: all lines of business</w:t>
            </w:r>
          </w:p>
          <w:p w14:paraId="145DE978" w14:textId="77777777" w:rsidR="00081CCE" w:rsidRPr="00AF03AD" w:rsidRDefault="00081CCE" w:rsidP="00081CCE">
            <w:pPr>
              <w:rPr>
                <w:rFonts w:ascii="Verdana" w:hAnsi="Verdana"/>
              </w:rPr>
            </w:pPr>
          </w:p>
        </w:tc>
        <w:tc>
          <w:tcPr>
            <w:tcW w:w="3664" w:type="dxa"/>
            <w:shd w:val="clear" w:color="auto" w:fill="auto"/>
          </w:tcPr>
          <w:p w14:paraId="56910382" w14:textId="77777777" w:rsidR="00081CCE" w:rsidRPr="0030792C" w:rsidRDefault="00081CCE" w:rsidP="00081CCE">
            <w:pPr>
              <w:rPr>
                <w:rFonts w:ascii="Verdana" w:hAnsi="Verdana"/>
              </w:rPr>
            </w:pPr>
            <w:r w:rsidRPr="0030792C">
              <w:rPr>
                <w:rFonts w:ascii="Verdana" w:hAnsi="Verdana"/>
              </w:rPr>
              <w:t>No change</w:t>
            </w:r>
          </w:p>
          <w:p w14:paraId="71D25258" w14:textId="77777777" w:rsidR="00081CCE" w:rsidRPr="00AF03AD" w:rsidRDefault="00081CCE" w:rsidP="00081CCE">
            <w:pPr>
              <w:rPr>
                <w:rFonts w:ascii="Verdana" w:hAnsi="Verdana"/>
              </w:rPr>
            </w:pPr>
          </w:p>
        </w:tc>
      </w:tr>
      <w:tr w:rsidR="00081CCE" w:rsidRPr="00852F8C" w14:paraId="5C65AAA7" w14:textId="77777777" w:rsidTr="001F115A">
        <w:tc>
          <w:tcPr>
            <w:tcW w:w="3845" w:type="dxa"/>
            <w:shd w:val="clear" w:color="auto" w:fill="auto"/>
          </w:tcPr>
          <w:p w14:paraId="403F6A1B" w14:textId="77777777" w:rsidR="00081CCE" w:rsidRPr="00851125" w:rsidRDefault="00081CCE" w:rsidP="00081CCE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851125">
              <w:rPr>
                <w:rFonts w:ascii="Verdana" w:hAnsi="Verdana"/>
                <w:b/>
                <w:bCs/>
                <w:sz w:val="22"/>
                <w:szCs w:val="22"/>
                <w:lang w:val="nn-NO"/>
              </w:rPr>
              <w:t>Uzedy</w:t>
            </w:r>
            <w:r w:rsidRPr="00851125">
              <w:rPr>
                <w:rFonts w:ascii="Verdana" w:hAnsi="Verdana"/>
                <w:sz w:val="22"/>
                <w:szCs w:val="22"/>
                <w:lang w:val="nn-NO"/>
              </w:rPr>
              <w:t xml:space="preserve"> (risperidone) 50, 75, 100, 125, 150, 200, &amp; 250 mg PFS for bipolar I disorder</w:t>
            </w:r>
          </w:p>
          <w:p w14:paraId="70995259" w14:textId="77777777" w:rsidR="00081CCE" w:rsidRPr="00851125" w:rsidRDefault="00081CCE" w:rsidP="00081CCE">
            <w:pPr>
              <w:pStyle w:val="Default"/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3408" w:type="dxa"/>
            <w:shd w:val="clear" w:color="auto" w:fill="auto"/>
          </w:tcPr>
          <w:p w14:paraId="2C5A6966" w14:textId="77777777" w:rsidR="00081CCE" w:rsidRPr="00851125" w:rsidRDefault="00081CCE" w:rsidP="00081CCE">
            <w:pPr>
              <w:rPr>
                <w:rFonts w:ascii="Verdana" w:hAnsi="Verdana"/>
              </w:rPr>
            </w:pPr>
            <w:r w:rsidRPr="00851125">
              <w:rPr>
                <w:rFonts w:ascii="Verdana" w:hAnsi="Verdana"/>
              </w:rPr>
              <w:t>NF: all lines of business</w:t>
            </w:r>
          </w:p>
          <w:p w14:paraId="44F9057C" w14:textId="77777777" w:rsidR="00081CCE" w:rsidRPr="00851125" w:rsidRDefault="00081CCE" w:rsidP="00081CCE">
            <w:pPr>
              <w:rPr>
                <w:rFonts w:ascii="Verdana" w:hAnsi="Verdana"/>
              </w:rPr>
            </w:pPr>
          </w:p>
        </w:tc>
        <w:tc>
          <w:tcPr>
            <w:tcW w:w="3664" w:type="dxa"/>
            <w:shd w:val="clear" w:color="auto" w:fill="auto"/>
          </w:tcPr>
          <w:p w14:paraId="1E1D48DD" w14:textId="77777777" w:rsidR="00E031F4" w:rsidRPr="0030792C" w:rsidRDefault="00E031F4" w:rsidP="00E031F4">
            <w:pPr>
              <w:rPr>
                <w:rFonts w:ascii="Verdana" w:hAnsi="Verdana"/>
              </w:rPr>
            </w:pPr>
            <w:r w:rsidRPr="0030792C">
              <w:rPr>
                <w:rFonts w:ascii="Verdana" w:hAnsi="Verdana"/>
              </w:rPr>
              <w:t>No change</w:t>
            </w:r>
          </w:p>
          <w:p w14:paraId="20544848" w14:textId="77777777" w:rsidR="00081CCE" w:rsidRPr="0030792C" w:rsidRDefault="00081CCE" w:rsidP="00081CCE">
            <w:pPr>
              <w:rPr>
                <w:rFonts w:ascii="Verdana" w:hAnsi="Verdana"/>
              </w:rPr>
            </w:pPr>
          </w:p>
        </w:tc>
      </w:tr>
      <w:tr w:rsidR="00081CCE" w:rsidRPr="00852F8C" w14:paraId="6A740712" w14:textId="77777777" w:rsidTr="001F115A">
        <w:tc>
          <w:tcPr>
            <w:tcW w:w="3845" w:type="dxa"/>
            <w:shd w:val="clear" w:color="auto" w:fill="auto"/>
          </w:tcPr>
          <w:p w14:paraId="427085B8" w14:textId="77777777" w:rsidR="00E031F4" w:rsidRPr="00851125" w:rsidRDefault="00E031F4" w:rsidP="00E031F4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proofErr w:type="spellStart"/>
            <w:r w:rsidRPr="00851125">
              <w:rPr>
                <w:rFonts w:ascii="Verdana" w:hAnsi="Verdana"/>
                <w:b/>
                <w:bCs/>
                <w:sz w:val="22"/>
                <w:szCs w:val="22"/>
              </w:rPr>
              <w:t>Wegovy</w:t>
            </w:r>
            <w:proofErr w:type="spellEnd"/>
            <w:r w:rsidRPr="00851125">
              <w:rPr>
                <w:rFonts w:ascii="Verdana" w:hAnsi="Verdana"/>
                <w:sz w:val="22"/>
                <w:szCs w:val="22"/>
              </w:rPr>
              <w:t xml:space="preserve"> (</w:t>
            </w:r>
            <w:proofErr w:type="spellStart"/>
            <w:r w:rsidRPr="00851125">
              <w:rPr>
                <w:rFonts w:ascii="Verdana" w:hAnsi="Verdana"/>
                <w:sz w:val="22"/>
                <w:szCs w:val="22"/>
              </w:rPr>
              <w:t>semaglutide</w:t>
            </w:r>
            <w:proofErr w:type="spellEnd"/>
            <w:r w:rsidRPr="00851125">
              <w:rPr>
                <w:rFonts w:ascii="Verdana" w:hAnsi="Verdana"/>
                <w:sz w:val="22"/>
                <w:szCs w:val="22"/>
              </w:rPr>
              <w:t>) 0.25, 0.5, 1, 1.7, &amp; 2.4 mg autoinjectors for noncirrhotic metabolic dysfunction-associated steatohepatitis</w:t>
            </w:r>
          </w:p>
          <w:p w14:paraId="68A96759" w14:textId="77777777" w:rsidR="00081CCE" w:rsidRPr="00851125" w:rsidRDefault="00081CCE" w:rsidP="00081CCE">
            <w:pPr>
              <w:pStyle w:val="Default"/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3408" w:type="dxa"/>
            <w:shd w:val="clear" w:color="auto" w:fill="auto"/>
          </w:tcPr>
          <w:p w14:paraId="199DA50D" w14:textId="77777777" w:rsidR="00E031F4" w:rsidRPr="00851125" w:rsidRDefault="00E031F4" w:rsidP="00E031F4">
            <w:pPr>
              <w:rPr>
                <w:rFonts w:ascii="Verdana" w:hAnsi="Verdana"/>
              </w:rPr>
            </w:pPr>
            <w:r w:rsidRPr="00851125">
              <w:rPr>
                <w:rFonts w:ascii="Verdana" w:hAnsi="Verdana"/>
              </w:rPr>
              <w:t xml:space="preserve">NF: </w:t>
            </w:r>
            <w:proofErr w:type="spellStart"/>
            <w:r w:rsidRPr="00851125">
              <w:rPr>
                <w:rFonts w:ascii="Verdana" w:hAnsi="Verdana"/>
              </w:rPr>
              <w:t>MedD</w:t>
            </w:r>
            <w:proofErr w:type="spellEnd"/>
            <w:r w:rsidRPr="00851125">
              <w:rPr>
                <w:rFonts w:ascii="Verdana" w:hAnsi="Verdana"/>
              </w:rPr>
              <w:t>, PPO, IFP</w:t>
            </w:r>
          </w:p>
          <w:p w14:paraId="4FD1AA01" w14:textId="77777777" w:rsidR="00E031F4" w:rsidRPr="00851125" w:rsidRDefault="00E031F4" w:rsidP="00E031F4">
            <w:pPr>
              <w:rPr>
                <w:rFonts w:ascii="Verdana" w:hAnsi="Verdana"/>
              </w:rPr>
            </w:pPr>
            <w:r w:rsidRPr="00851125">
              <w:rPr>
                <w:rFonts w:ascii="Verdana" w:hAnsi="Verdana"/>
              </w:rPr>
              <w:t>F: SNP</w:t>
            </w:r>
          </w:p>
          <w:p w14:paraId="45EEB206" w14:textId="3973D0BD" w:rsidR="00081CCE" w:rsidRPr="00851125" w:rsidRDefault="00E031F4" w:rsidP="00E031F4">
            <w:pPr>
              <w:rPr>
                <w:rFonts w:ascii="Verdana" w:hAnsi="Verdana"/>
              </w:rPr>
            </w:pPr>
            <w:r w:rsidRPr="00851125">
              <w:rPr>
                <w:rFonts w:ascii="Verdana" w:hAnsi="Verdana"/>
              </w:rPr>
              <w:t>PDL: MA</w:t>
            </w:r>
          </w:p>
        </w:tc>
        <w:tc>
          <w:tcPr>
            <w:tcW w:w="3664" w:type="dxa"/>
            <w:shd w:val="clear" w:color="auto" w:fill="auto"/>
          </w:tcPr>
          <w:p w14:paraId="4EB1CACB" w14:textId="77777777" w:rsidR="00081CCE" w:rsidRPr="0030792C" w:rsidRDefault="00081CCE" w:rsidP="00081CCE">
            <w:pPr>
              <w:rPr>
                <w:rFonts w:ascii="Verdana" w:hAnsi="Verdana"/>
              </w:rPr>
            </w:pPr>
            <w:r w:rsidRPr="0030792C">
              <w:rPr>
                <w:rFonts w:ascii="Verdana" w:hAnsi="Verdana"/>
              </w:rPr>
              <w:t>No change</w:t>
            </w:r>
          </w:p>
          <w:p w14:paraId="71307136" w14:textId="77777777" w:rsidR="00081CCE" w:rsidRPr="0030792C" w:rsidRDefault="00081CCE" w:rsidP="00081CCE">
            <w:pPr>
              <w:rPr>
                <w:rFonts w:ascii="Verdana" w:hAnsi="Verdana"/>
              </w:rPr>
            </w:pPr>
          </w:p>
        </w:tc>
      </w:tr>
      <w:tr w:rsidR="00081CCE" w:rsidRPr="00852F8C" w14:paraId="7FEA7D66" w14:textId="77777777" w:rsidTr="001F115A">
        <w:tc>
          <w:tcPr>
            <w:tcW w:w="3845" w:type="dxa"/>
            <w:shd w:val="clear" w:color="auto" w:fill="auto"/>
          </w:tcPr>
          <w:p w14:paraId="549928C8" w14:textId="77777777" w:rsidR="00E031F4" w:rsidRPr="00851125" w:rsidRDefault="00E031F4" w:rsidP="00E031F4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proofErr w:type="spellStart"/>
            <w:r w:rsidRPr="00851125">
              <w:rPr>
                <w:rFonts w:ascii="Verdana" w:hAnsi="Verdana"/>
                <w:b/>
                <w:bCs/>
                <w:sz w:val="22"/>
                <w:szCs w:val="22"/>
              </w:rPr>
              <w:t>Rybelsus</w:t>
            </w:r>
            <w:proofErr w:type="spellEnd"/>
            <w:r w:rsidRPr="00851125">
              <w:rPr>
                <w:rFonts w:ascii="Verdana" w:hAnsi="Verdana"/>
                <w:sz w:val="22"/>
                <w:szCs w:val="22"/>
              </w:rPr>
              <w:t xml:space="preserve"> (</w:t>
            </w:r>
            <w:proofErr w:type="spellStart"/>
            <w:r w:rsidRPr="00851125">
              <w:rPr>
                <w:rFonts w:ascii="Verdana" w:hAnsi="Verdana"/>
                <w:sz w:val="22"/>
                <w:szCs w:val="22"/>
              </w:rPr>
              <w:t>semaglutide</w:t>
            </w:r>
            <w:proofErr w:type="spellEnd"/>
            <w:r w:rsidRPr="00851125">
              <w:rPr>
                <w:rFonts w:ascii="Verdana" w:hAnsi="Verdana"/>
                <w:sz w:val="22"/>
                <w:szCs w:val="22"/>
              </w:rPr>
              <w:t>) 1.5, 3, 4, 7, 9, &amp; 14 mg tablets to reduce the risk of major adverse cardiovascular events (MACE) in adults with type 2 diabetes at high risk for these events</w:t>
            </w:r>
          </w:p>
          <w:p w14:paraId="36618D72" w14:textId="77777777" w:rsidR="00081CCE" w:rsidRPr="00851125" w:rsidRDefault="00081CCE" w:rsidP="00081CCE">
            <w:pPr>
              <w:pStyle w:val="Default"/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3408" w:type="dxa"/>
            <w:shd w:val="clear" w:color="auto" w:fill="auto"/>
          </w:tcPr>
          <w:p w14:paraId="3E96164E" w14:textId="77777777" w:rsidR="00E031F4" w:rsidRPr="00851125" w:rsidRDefault="00E031F4" w:rsidP="00E031F4">
            <w:pPr>
              <w:rPr>
                <w:rFonts w:ascii="Verdana" w:hAnsi="Verdana"/>
              </w:rPr>
            </w:pPr>
            <w:r w:rsidRPr="00851125">
              <w:rPr>
                <w:rFonts w:ascii="Verdana" w:hAnsi="Verdana"/>
              </w:rPr>
              <w:t xml:space="preserve">F: </w:t>
            </w:r>
            <w:proofErr w:type="spellStart"/>
            <w:r w:rsidRPr="00851125">
              <w:rPr>
                <w:rFonts w:ascii="Verdana" w:hAnsi="Verdana"/>
              </w:rPr>
              <w:t>MedD</w:t>
            </w:r>
            <w:proofErr w:type="spellEnd"/>
            <w:r w:rsidRPr="00851125">
              <w:rPr>
                <w:rFonts w:ascii="Verdana" w:hAnsi="Verdana"/>
              </w:rPr>
              <w:t>, PPO, IFP</w:t>
            </w:r>
          </w:p>
          <w:p w14:paraId="1EE29357" w14:textId="77777777" w:rsidR="00E031F4" w:rsidRPr="00851125" w:rsidRDefault="00E031F4" w:rsidP="00E031F4">
            <w:pPr>
              <w:rPr>
                <w:rFonts w:ascii="Verdana" w:hAnsi="Verdana"/>
              </w:rPr>
            </w:pPr>
            <w:r w:rsidRPr="00851125">
              <w:rPr>
                <w:rFonts w:ascii="Verdana" w:hAnsi="Verdana"/>
              </w:rPr>
              <w:t>NP: MA</w:t>
            </w:r>
          </w:p>
          <w:p w14:paraId="577C1778" w14:textId="77777777" w:rsidR="00081CCE" w:rsidRPr="00851125" w:rsidRDefault="00081CCE" w:rsidP="00081CCE">
            <w:pPr>
              <w:rPr>
                <w:rFonts w:ascii="Verdana" w:hAnsi="Verdana"/>
              </w:rPr>
            </w:pPr>
          </w:p>
        </w:tc>
        <w:tc>
          <w:tcPr>
            <w:tcW w:w="3664" w:type="dxa"/>
            <w:shd w:val="clear" w:color="auto" w:fill="auto"/>
          </w:tcPr>
          <w:p w14:paraId="15BDA950" w14:textId="77777777" w:rsidR="00081CCE" w:rsidRPr="0030792C" w:rsidRDefault="00081CCE" w:rsidP="00081CCE">
            <w:pPr>
              <w:rPr>
                <w:rFonts w:ascii="Verdana" w:hAnsi="Verdana"/>
              </w:rPr>
            </w:pPr>
            <w:r w:rsidRPr="0030792C">
              <w:rPr>
                <w:rFonts w:ascii="Verdana" w:hAnsi="Verdana"/>
              </w:rPr>
              <w:t>No change</w:t>
            </w:r>
          </w:p>
          <w:p w14:paraId="4E9D3441" w14:textId="77777777" w:rsidR="00081CCE" w:rsidRPr="0030792C" w:rsidRDefault="00081CCE" w:rsidP="00081CCE">
            <w:pPr>
              <w:rPr>
                <w:rFonts w:ascii="Verdana" w:hAnsi="Verdana"/>
              </w:rPr>
            </w:pPr>
          </w:p>
        </w:tc>
      </w:tr>
      <w:tr w:rsidR="00081CCE" w:rsidRPr="00852F8C" w14:paraId="06D6900A" w14:textId="77777777" w:rsidTr="001F115A">
        <w:tc>
          <w:tcPr>
            <w:tcW w:w="3845" w:type="dxa"/>
            <w:shd w:val="clear" w:color="auto" w:fill="auto"/>
          </w:tcPr>
          <w:p w14:paraId="3CF81A8C" w14:textId="77777777" w:rsidR="00E031F4" w:rsidRPr="00851125" w:rsidRDefault="00E031F4" w:rsidP="00E031F4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proofErr w:type="spellStart"/>
            <w:r w:rsidRPr="00851125">
              <w:rPr>
                <w:rFonts w:ascii="Verdana" w:hAnsi="Verdana"/>
                <w:b/>
                <w:bCs/>
                <w:sz w:val="22"/>
                <w:szCs w:val="22"/>
              </w:rPr>
              <w:t>Praluent</w:t>
            </w:r>
            <w:proofErr w:type="spellEnd"/>
            <w:r w:rsidRPr="00851125">
              <w:rPr>
                <w:rFonts w:ascii="Verdana" w:hAnsi="Verdana"/>
                <w:b/>
                <w:bCs/>
                <w:sz w:val="22"/>
                <w:szCs w:val="22"/>
              </w:rPr>
              <w:t xml:space="preserve"> </w:t>
            </w:r>
            <w:r w:rsidRPr="00851125">
              <w:rPr>
                <w:rFonts w:ascii="Verdana" w:hAnsi="Verdana"/>
                <w:sz w:val="22"/>
                <w:szCs w:val="22"/>
              </w:rPr>
              <w:t xml:space="preserve">(alirocumab) 75 &amp; 150 mg autoinjectors to reduce risk of MACE in adults at increased risk and as an adjunct to diet &amp; exercise in patients with </w:t>
            </w:r>
            <w:proofErr w:type="spellStart"/>
            <w:r w:rsidRPr="00851125">
              <w:rPr>
                <w:rFonts w:ascii="Verdana" w:hAnsi="Verdana"/>
                <w:sz w:val="22"/>
                <w:szCs w:val="22"/>
              </w:rPr>
              <w:t>HeFH</w:t>
            </w:r>
            <w:proofErr w:type="spellEnd"/>
            <w:r w:rsidRPr="00851125">
              <w:rPr>
                <w:rFonts w:ascii="Verdana" w:hAnsi="Verdana"/>
                <w:sz w:val="22"/>
                <w:szCs w:val="22"/>
              </w:rPr>
              <w:t xml:space="preserve"> &amp; </w:t>
            </w:r>
            <w:proofErr w:type="spellStart"/>
            <w:r w:rsidRPr="00851125">
              <w:rPr>
                <w:rFonts w:ascii="Verdana" w:hAnsi="Verdana"/>
                <w:sz w:val="22"/>
                <w:szCs w:val="22"/>
              </w:rPr>
              <w:t>HoFH</w:t>
            </w:r>
            <w:proofErr w:type="spellEnd"/>
          </w:p>
          <w:p w14:paraId="5F8996CA" w14:textId="77777777" w:rsidR="00081CCE" w:rsidRPr="00851125" w:rsidRDefault="00081CCE" w:rsidP="00081CCE">
            <w:pPr>
              <w:pStyle w:val="Default"/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3408" w:type="dxa"/>
            <w:shd w:val="clear" w:color="auto" w:fill="auto"/>
          </w:tcPr>
          <w:p w14:paraId="08B4AE9D" w14:textId="77777777" w:rsidR="00E031F4" w:rsidRPr="00851125" w:rsidRDefault="00E031F4" w:rsidP="00E031F4">
            <w:pPr>
              <w:rPr>
                <w:rFonts w:ascii="Verdana" w:hAnsi="Verdana"/>
              </w:rPr>
            </w:pPr>
            <w:r w:rsidRPr="00851125">
              <w:rPr>
                <w:rFonts w:ascii="Verdana" w:hAnsi="Verdana"/>
              </w:rPr>
              <w:t xml:space="preserve">NF: </w:t>
            </w:r>
            <w:proofErr w:type="spellStart"/>
            <w:r w:rsidRPr="00851125">
              <w:rPr>
                <w:rFonts w:ascii="Verdana" w:hAnsi="Verdana"/>
              </w:rPr>
              <w:t>MedD</w:t>
            </w:r>
            <w:proofErr w:type="spellEnd"/>
            <w:r w:rsidRPr="00851125">
              <w:rPr>
                <w:rFonts w:ascii="Verdana" w:hAnsi="Verdana"/>
              </w:rPr>
              <w:t>, PPO, IFP</w:t>
            </w:r>
          </w:p>
          <w:p w14:paraId="169B742F" w14:textId="77777777" w:rsidR="00E031F4" w:rsidRPr="00851125" w:rsidRDefault="00E031F4" w:rsidP="00E031F4">
            <w:pPr>
              <w:rPr>
                <w:rFonts w:ascii="Verdana" w:hAnsi="Verdana"/>
              </w:rPr>
            </w:pPr>
            <w:r w:rsidRPr="00851125">
              <w:rPr>
                <w:rFonts w:ascii="Verdana" w:hAnsi="Verdana"/>
              </w:rPr>
              <w:t>NP: MA</w:t>
            </w:r>
          </w:p>
          <w:p w14:paraId="3C6ABC78" w14:textId="77777777" w:rsidR="00081CCE" w:rsidRPr="00851125" w:rsidRDefault="00081CCE" w:rsidP="00081CCE">
            <w:pPr>
              <w:rPr>
                <w:rFonts w:ascii="Verdana" w:hAnsi="Verdana"/>
              </w:rPr>
            </w:pPr>
          </w:p>
        </w:tc>
        <w:tc>
          <w:tcPr>
            <w:tcW w:w="3664" w:type="dxa"/>
            <w:shd w:val="clear" w:color="auto" w:fill="auto"/>
          </w:tcPr>
          <w:p w14:paraId="28151431" w14:textId="77777777" w:rsidR="00081CCE" w:rsidRPr="0030792C" w:rsidRDefault="00081CCE" w:rsidP="00081CCE">
            <w:pPr>
              <w:rPr>
                <w:rFonts w:ascii="Verdana" w:hAnsi="Verdana"/>
              </w:rPr>
            </w:pPr>
            <w:r w:rsidRPr="0030792C">
              <w:rPr>
                <w:rFonts w:ascii="Verdana" w:hAnsi="Verdana"/>
              </w:rPr>
              <w:t>No change</w:t>
            </w:r>
          </w:p>
          <w:p w14:paraId="65CD0F73" w14:textId="77777777" w:rsidR="00081CCE" w:rsidRPr="0030792C" w:rsidRDefault="00081CCE" w:rsidP="00081CCE">
            <w:pPr>
              <w:rPr>
                <w:rFonts w:ascii="Verdana" w:hAnsi="Verdana"/>
              </w:rPr>
            </w:pPr>
          </w:p>
        </w:tc>
      </w:tr>
      <w:tr w:rsidR="00E031F4" w:rsidRPr="00852F8C" w14:paraId="0A77F9DE" w14:textId="77777777" w:rsidTr="001F115A">
        <w:tc>
          <w:tcPr>
            <w:tcW w:w="3845" w:type="dxa"/>
            <w:shd w:val="clear" w:color="auto" w:fill="auto"/>
          </w:tcPr>
          <w:p w14:paraId="788168F7" w14:textId="77777777" w:rsidR="00E031F4" w:rsidRPr="00851125" w:rsidRDefault="00E031F4" w:rsidP="00E031F4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851125">
              <w:rPr>
                <w:rFonts w:ascii="Verdana" w:hAnsi="Verdana"/>
                <w:b/>
                <w:bCs/>
                <w:sz w:val="22"/>
                <w:szCs w:val="22"/>
              </w:rPr>
              <w:t>Simponi</w:t>
            </w:r>
            <w:r w:rsidRPr="00851125">
              <w:rPr>
                <w:rFonts w:ascii="Verdana" w:hAnsi="Verdana"/>
                <w:sz w:val="22"/>
                <w:szCs w:val="22"/>
              </w:rPr>
              <w:t xml:space="preserve"> (golimumab) 50 &amp; 100 mg injection for pediatric patients weighing ≥ 15 kg with moderate to severely active ulcerative colitis</w:t>
            </w:r>
          </w:p>
          <w:p w14:paraId="4F192336" w14:textId="77777777" w:rsidR="00E031F4" w:rsidRPr="00851125" w:rsidRDefault="00E031F4" w:rsidP="00E031F4">
            <w:pPr>
              <w:pStyle w:val="Default"/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3408" w:type="dxa"/>
            <w:shd w:val="clear" w:color="auto" w:fill="auto"/>
          </w:tcPr>
          <w:p w14:paraId="1B9A679D" w14:textId="77777777" w:rsidR="00E031F4" w:rsidRPr="00851125" w:rsidRDefault="00E031F4" w:rsidP="00E031F4">
            <w:pPr>
              <w:rPr>
                <w:rFonts w:ascii="Verdana" w:hAnsi="Verdana"/>
              </w:rPr>
            </w:pPr>
            <w:r w:rsidRPr="00851125">
              <w:rPr>
                <w:rFonts w:ascii="Verdana" w:hAnsi="Verdana"/>
              </w:rPr>
              <w:t xml:space="preserve">NF: </w:t>
            </w:r>
            <w:proofErr w:type="spellStart"/>
            <w:r w:rsidRPr="00851125">
              <w:rPr>
                <w:rFonts w:ascii="Verdana" w:hAnsi="Verdana"/>
              </w:rPr>
              <w:t>MedD</w:t>
            </w:r>
            <w:proofErr w:type="spellEnd"/>
            <w:r w:rsidRPr="00851125">
              <w:rPr>
                <w:rFonts w:ascii="Verdana" w:hAnsi="Verdana"/>
              </w:rPr>
              <w:t>, PPO, IFP</w:t>
            </w:r>
          </w:p>
          <w:p w14:paraId="0D85BE17" w14:textId="77777777" w:rsidR="00E031F4" w:rsidRPr="00851125" w:rsidRDefault="00E031F4" w:rsidP="00E031F4">
            <w:pPr>
              <w:rPr>
                <w:rFonts w:ascii="Verdana" w:hAnsi="Verdana"/>
              </w:rPr>
            </w:pPr>
            <w:r w:rsidRPr="00851125">
              <w:rPr>
                <w:rFonts w:ascii="Verdana" w:hAnsi="Verdana"/>
              </w:rPr>
              <w:t>NP: MA</w:t>
            </w:r>
          </w:p>
          <w:p w14:paraId="1268ADDB" w14:textId="77777777" w:rsidR="00E031F4" w:rsidRPr="00851125" w:rsidRDefault="00E031F4" w:rsidP="00E031F4">
            <w:pPr>
              <w:rPr>
                <w:rFonts w:ascii="Verdana" w:hAnsi="Verdana"/>
              </w:rPr>
            </w:pPr>
          </w:p>
        </w:tc>
        <w:tc>
          <w:tcPr>
            <w:tcW w:w="3664" w:type="dxa"/>
            <w:shd w:val="clear" w:color="auto" w:fill="auto"/>
          </w:tcPr>
          <w:p w14:paraId="4BB46322" w14:textId="77777777" w:rsidR="00E031F4" w:rsidRPr="0030792C" w:rsidRDefault="00E031F4" w:rsidP="00E031F4">
            <w:pPr>
              <w:rPr>
                <w:rFonts w:ascii="Verdana" w:hAnsi="Verdana"/>
              </w:rPr>
            </w:pPr>
            <w:r w:rsidRPr="0030792C">
              <w:rPr>
                <w:rFonts w:ascii="Verdana" w:hAnsi="Verdana"/>
              </w:rPr>
              <w:t>No change</w:t>
            </w:r>
          </w:p>
          <w:p w14:paraId="54E258DD" w14:textId="77777777" w:rsidR="00E031F4" w:rsidRPr="0030792C" w:rsidRDefault="00E031F4" w:rsidP="00E031F4">
            <w:pPr>
              <w:rPr>
                <w:rFonts w:ascii="Verdana" w:hAnsi="Verdana"/>
              </w:rPr>
            </w:pPr>
          </w:p>
        </w:tc>
      </w:tr>
      <w:tr w:rsidR="00E031F4" w:rsidRPr="00852F8C" w14:paraId="28754A54" w14:textId="77777777" w:rsidTr="001F115A">
        <w:tc>
          <w:tcPr>
            <w:tcW w:w="3845" w:type="dxa"/>
            <w:shd w:val="clear" w:color="auto" w:fill="auto"/>
          </w:tcPr>
          <w:p w14:paraId="1AD3411E" w14:textId="77777777" w:rsidR="00E031F4" w:rsidRPr="00851125" w:rsidRDefault="00E031F4" w:rsidP="00E031F4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proofErr w:type="spellStart"/>
            <w:r w:rsidRPr="00851125">
              <w:rPr>
                <w:rFonts w:ascii="Verdana" w:hAnsi="Verdana"/>
                <w:b/>
                <w:bCs/>
                <w:sz w:val="22"/>
                <w:szCs w:val="22"/>
              </w:rPr>
              <w:t>Olpruva</w:t>
            </w:r>
            <w:proofErr w:type="spellEnd"/>
            <w:r w:rsidRPr="00851125">
              <w:rPr>
                <w:rFonts w:ascii="Verdana" w:hAnsi="Verdana"/>
                <w:sz w:val="22"/>
                <w:szCs w:val="22"/>
              </w:rPr>
              <w:t xml:space="preserve"> (sodium phenylbutyrate) 0.5, 1, 2, 3, </w:t>
            </w:r>
            <w:proofErr w:type="gramStart"/>
            <w:r w:rsidRPr="00851125">
              <w:rPr>
                <w:rFonts w:ascii="Verdana" w:hAnsi="Verdana"/>
                <w:sz w:val="22"/>
                <w:szCs w:val="22"/>
              </w:rPr>
              <w:t xml:space="preserve">4, </w:t>
            </w:r>
            <w:r w:rsidRPr="00851125">
              <w:rPr>
                <w:rFonts w:ascii="Verdana" w:hAnsi="Verdana"/>
                <w:sz w:val="22"/>
                <w:szCs w:val="22"/>
              </w:rPr>
              <w:lastRenderedPageBreak/>
              <w:t>5, 6, &amp; 6.67 gram</w:t>
            </w:r>
            <w:proofErr w:type="gramEnd"/>
            <w:r w:rsidRPr="00851125">
              <w:rPr>
                <w:rFonts w:ascii="Verdana" w:hAnsi="Verdana"/>
                <w:sz w:val="22"/>
                <w:szCs w:val="22"/>
              </w:rPr>
              <w:t xml:space="preserve"> packets for patients ≥ 1 year of age weighing ≥ 7 kg with urea cycle disorders</w:t>
            </w:r>
          </w:p>
          <w:p w14:paraId="1B44A426" w14:textId="77777777" w:rsidR="00E031F4" w:rsidRPr="00851125" w:rsidRDefault="00E031F4" w:rsidP="00E031F4">
            <w:pPr>
              <w:pStyle w:val="Default"/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3408" w:type="dxa"/>
            <w:shd w:val="clear" w:color="auto" w:fill="auto"/>
          </w:tcPr>
          <w:p w14:paraId="7892752F" w14:textId="77777777" w:rsidR="00E031F4" w:rsidRPr="00851125" w:rsidRDefault="00E031F4" w:rsidP="00E031F4">
            <w:pPr>
              <w:rPr>
                <w:rFonts w:ascii="Verdana" w:hAnsi="Verdana"/>
              </w:rPr>
            </w:pPr>
            <w:r w:rsidRPr="00851125">
              <w:rPr>
                <w:rFonts w:ascii="Verdana" w:hAnsi="Verdana"/>
              </w:rPr>
              <w:lastRenderedPageBreak/>
              <w:t>NF: all lines of business</w:t>
            </w:r>
          </w:p>
          <w:p w14:paraId="3359FAB5" w14:textId="77777777" w:rsidR="00E031F4" w:rsidRPr="00851125" w:rsidRDefault="00E031F4" w:rsidP="00E031F4">
            <w:pPr>
              <w:rPr>
                <w:rFonts w:ascii="Verdana" w:hAnsi="Verdana"/>
              </w:rPr>
            </w:pPr>
          </w:p>
        </w:tc>
        <w:tc>
          <w:tcPr>
            <w:tcW w:w="3664" w:type="dxa"/>
            <w:shd w:val="clear" w:color="auto" w:fill="auto"/>
          </w:tcPr>
          <w:p w14:paraId="624BE631" w14:textId="77777777" w:rsidR="00E031F4" w:rsidRPr="0030792C" w:rsidRDefault="00E031F4" w:rsidP="00E031F4">
            <w:pPr>
              <w:rPr>
                <w:rFonts w:ascii="Verdana" w:hAnsi="Verdana"/>
              </w:rPr>
            </w:pPr>
            <w:r w:rsidRPr="0030792C">
              <w:rPr>
                <w:rFonts w:ascii="Verdana" w:hAnsi="Verdana"/>
              </w:rPr>
              <w:t>No change</w:t>
            </w:r>
          </w:p>
          <w:p w14:paraId="1DF3AE60" w14:textId="77777777" w:rsidR="00E031F4" w:rsidRPr="0030792C" w:rsidRDefault="00E031F4" w:rsidP="00E031F4">
            <w:pPr>
              <w:rPr>
                <w:rFonts w:ascii="Verdana" w:hAnsi="Verdana"/>
              </w:rPr>
            </w:pPr>
          </w:p>
        </w:tc>
      </w:tr>
      <w:tr w:rsidR="00E031F4" w:rsidRPr="00852F8C" w14:paraId="63006A79" w14:textId="77777777" w:rsidTr="001F115A">
        <w:tc>
          <w:tcPr>
            <w:tcW w:w="3845" w:type="dxa"/>
            <w:shd w:val="clear" w:color="auto" w:fill="auto"/>
          </w:tcPr>
          <w:p w14:paraId="25A8C072" w14:textId="77777777" w:rsidR="00E031F4" w:rsidRPr="00851125" w:rsidRDefault="00E031F4" w:rsidP="00E031F4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851125">
              <w:rPr>
                <w:rFonts w:ascii="Verdana" w:hAnsi="Verdana"/>
                <w:b/>
                <w:bCs/>
                <w:sz w:val="22"/>
                <w:szCs w:val="22"/>
              </w:rPr>
              <w:t xml:space="preserve">Xeljanz </w:t>
            </w:r>
            <w:r w:rsidRPr="00851125">
              <w:rPr>
                <w:rFonts w:ascii="Verdana" w:hAnsi="Verdana"/>
                <w:sz w:val="22"/>
                <w:szCs w:val="22"/>
              </w:rPr>
              <w:t>(tofacitinib) 5 &amp; 10 mg tablets and 1 mg/mL oral solution for active psoriatic arthritis in patients ≥ 2 years of age who have an inadequate response or intolerance to ≥ 1 TNF blocker</w:t>
            </w:r>
          </w:p>
          <w:p w14:paraId="0FBDB206" w14:textId="77777777" w:rsidR="00E031F4" w:rsidRPr="00851125" w:rsidRDefault="00E031F4" w:rsidP="00E031F4">
            <w:pPr>
              <w:pStyle w:val="Default"/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3408" w:type="dxa"/>
            <w:shd w:val="clear" w:color="auto" w:fill="auto"/>
          </w:tcPr>
          <w:p w14:paraId="16D5126C" w14:textId="77777777" w:rsidR="00E031F4" w:rsidRPr="00851125" w:rsidRDefault="00E031F4" w:rsidP="00E031F4">
            <w:pPr>
              <w:rPr>
                <w:rFonts w:ascii="Verdana" w:hAnsi="Verdana"/>
              </w:rPr>
            </w:pPr>
            <w:r w:rsidRPr="00851125">
              <w:rPr>
                <w:rFonts w:ascii="Verdana" w:hAnsi="Verdana"/>
              </w:rPr>
              <w:t xml:space="preserve">F: </w:t>
            </w:r>
            <w:proofErr w:type="spellStart"/>
            <w:r w:rsidRPr="00851125">
              <w:rPr>
                <w:rFonts w:ascii="Verdana" w:hAnsi="Verdana"/>
              </w:rPr>
              <w:t>MedD</w:t>
            </w:r>
            <w:proofErr w:type="spellEnd"/>
            <w:r w:rsidRPr="00851125">
              <w:rPr>
                <w:rFonts w:ascii="Verdana" w:hAnsi="Verdana"/>
              </w:rPr>
              <w:t>, PPO, IFP</w:t>
            </w:r>
          </w:p>
          <w:p w14:paraId="0730769B" w14:textId="77777777" w:rsidR="00E031F4" w:rsidRPr="00851125" w:rsidRDefault="00E031F4" w:rsidP="00E031F4">
            <w:pPr>
              <w:rPr>
                <w:rFonts w:ascii="Verdana" w:hAnsi="Verdana"/>
              </w:rPr>
            </w:pPr>
            <w:r w:rsidRPr="00851125">
              <w:rPr>
                <w:rFonts w:ascii="Verdana" w:hAnsi="Verdana"/>
              </w:rPr>
              <w:t>NP: MA (solution)</w:t>
            </w:r>
          </w:p>
          <w:p w14:paraId="6942C2B7" w14:textId="77777777" w:rsidR="00E031F4" w:rsidRPr="00851125" w:rsidRDefault="00E031F4" w:rsidP="00E031F4">
            <w:pPr>
              <w:rPr>
                <w:rFonts w:ascii="Verdana" w:hAnsi="Verdana"/>
              </w:rPr>
            </w:pPr>
            <w:r w:rsidRPr="00851125">
              <w:rPr>
                <w:rFonts w:ascii="Verdana" w:hAnsi="Verdana"/>
              </w:rPr>
              <w:t>PDL: MA (tablets)</w:t>
            </w:r>
          </w:p>
          <w:p w14:paraId="7B635928" w14:textId="77777777" w:rsidR="00E031F4" w:rsidRPr="00851125" w:rsidRDefault="00E031F4" w:rsidP="00E031F4">
            <w:pPr>
              <w:rPr>
                <w:rFonts w:ascii="Verdana" w:hAnsi="Verdana"/>
              </w:rPr>
            </w:pPr>
          </w:p>
        </w:tc>
        <w:tc>
          <w:tcPr>
            <w:tcW w:w="3664" w:type="dxa"/>
            <w:shd w:val="clear" w:color="auto" w:fill="auto"/>
          </w:tcPr>
          <w:p w14:paraId="14CAD3A6" w14:textId="77777777" w:rsidR="00E031F4" w:rsidRPr="0030792C" w:rsidRDefault="00E031F4" w:rsidP="00E031F4">
            <w:pPr>
              <w:rPr>
                <w:rFonts w:ascii="Verdana" w:hAnsi="Verdana"/>
              </w:rPr>
            </w:pPr>
            <w:r w:rsidRPr="0030792C">
              <w:rPr>
                <w:rFonts w:ascii="Verdana" w:hAnsi="Verdana"/>
              </w:rPr>
              <w:t>No change</w:t>
            </w:r>
          </w:p>
          <w:p w14:paraId="2D605097" w14:textId="77777777" w:rsidR="00E031F4" w:rsidRPr="0030792C" w:rsidRDefault="00E031F4" w:rsidP="00E031F4">
            <w:pPr>
              <w:rPr>
                <w:rFonts w:ascii="Verdana" w:hAnsi="Verdana"/>
              </w:rPr>
            </w:pPr>
          </w:p>
        </w:tc>
      </w:tr>
      <w:tr w:rsidR="00E031F4" w:rsidRPr="00852F8C" w14:paraId="347E038B" w14:textId="77777777" w:rsidTr="001F115A">
        <w:tc>
          <w:tcPr>
            <w:tcW w:w="3845" w:type="dxa"/>
            <w:shd w:val="clear" w:color="auto" w:fill="auto"/>
          </w:tcPr>
          <w:p w14:paraId="0231A422" w14:textId="77777777" w:rsidR="00E031F4" w:rsidRPr="00851125" w:rsidRDefault="00E031F4" w:rsidP="00E031F4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proofErr w:type="spellStart"/>
            <w:r w:rsidRPr="00851125">
              <w:rPr>
                <w:rFonts w:ascii="Verdana" w:hAnsi="Verdana"/>
                <w:b/>
                <w:bCs/>
                <w:sz w:val="22"/>
                <w:szCs w:val="22"/>
              </w:rPr>
              <w:t>Revuforj</w:t>
            </w:r>
            <w:proofErr w:type="spellEnd"/>
            <w:r w:rsidRPr="00851125">
              <w:rPr>
                <w:rFonts w:ascii="Verdana" w:hAnsi="Verdana"/>
                <w:sz w:val="22"/>
                <w:szCs w:val="22"/>
              </w:rPr>
              <w:t xml:space="preserve"> (</w:t>
            </w:r>
            <w:proofErr w:type="spellStart"/>
            <w:r w:rsidRPr="00851125">
              <w:rPr>
                <w:rFonts w:ascii="Verdana" w:hAnsi="Verdana"/>
                <w:sz w:val="22"/>
                <w:szCs w:val="22"/>
              </w:rPr>
              <w:t>revumenib</w:t>
            </w:r>
            <w:proofErr w:type="spellEnd"/>
            <w:r w:rsidRPr="00851125">
              <w:rPr>
                <w:rFonts w:ascii="Verdana" w:hAnsi="Verdana"/>
                <w:sz w:val="22"/>
                <w:szCs w:val="22"/>
              </w:rPr>
              <w:t xml:space="preserve">) 25, 110, &amp; 160 mg tablets for relapsed or refractory acute myeloid leukemia with a susceptible </w:t>
            </w:r>
            <w:proofErr w:type="spellStart"/>
            <w:r w:rsidRPr="00851125">
              <w:rPr>
                <w:rFonts w:ascii="Verdana" w:hAnsi="Verdana"/>
                <w:sz w:val="22"/>
                <w:szCs w:val="22"/>
              </w:rPr>
              <w:t>nucleophosmin</w:t>
            </w:r>
            <w:proofErr w:type="spellEnd"/>
            <w:r w:rsidRPr="00851125">
              <w:rPr>
                <w:rFonts w:ascii="Verdana" w:hAnsi="Verdana"/>
                <w:sz w:val="22"/>
                <w:szCs w:val="22"/>
              </w:rPr>
              <w:t xml:space="preserve"> 1 (NPM1) mutation in adult &amp; pediatric patients ≥ 1 year of age with no alternative treatment options</w:t>
            </w:r>
          </w:p>
          <w:p w14:paraId="664D13AD" w14:textId="77777777" w:rsidR="00E031F4" w:rsidRPr="00851125" w:rsidRDefault="00E031F4" w:rsidP="00E031F4">
            <w:pPr>
              <w:pStyle w:val="Default"/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3408" w:type="dxa"/>
            <w:shd w:val="clear" w:color="auto" w:fill="auto"/>
          </w:tcPr>
          <w:p w14:paraId="6C0481D5" w14:textId="77777777" w:rsidR="00E031F4" w:rsidRPr="00851125" w:rsidRDefault="00E031F4" w:rsidP="00E031F4">
            <w:pPr>
              <w:rPr>
                <w:rFonts w:ascii="Verdana" w:hAnsi="Verdana"/>
              </w:rPr>
            </w:pPr>
            <w:r w:rsidRPr="00851125">
              <w:rPr>
                <w:rFonts w:ascii="Verdana" w:hAnsi="Verdana"/>
              </w:rPr>
              <w:t>F: all lines of business</w:t>
            </w:r>
          </w:p>
          <w:p w14:paraId="35F8C6B7" w14:textId="77777777" w:rsidR="00E031F4" w:rsidRPr="00851125" w:rsidRDefault="00E031F4" w:rsidP="00E031F4">
            <w:pPr>
              <w:rPr>
                <w:rFonts w:ascii="Verdana" w:hAnsi="Verdana"/>
              </w:rPr>
            </w:pPr>
          </w:p>
        </w:tc>
        <w:tc>
          <w:tcPr>
            <w:tcW w:w="3664" w:type="dxa"/>
            <w:shd w:val="clear" w:color="auto" w:fill="auto"/>
          </w:tcPr>
          <w:p w14:paraId="442645B8" w14:textId="77777777" w:rsidR="00E031F4" w:rsidRPr="0030792C" w:rsidRDefault="00E031F4" w:rsidP="00E031F4">
            <w:pPr>
              <w:rPr>
                <w:rFonts w:ascii="Verdana" w:hAnsi="Verdana"/>
              </w:rPr>
            </w:pPr>
            <w:r w:rsidRPr="0030792C">
              <w:rPr>
                <w:rFonts w:ascii="Verdana" w:hAnsi="Verdana"/>
              </w:rPr>
              <w:t>No change</w:t>
            </w:r>
          </w:p>
          <w:p w14:paraId="23EC1F6B" w14:textId="77777777" w:rsidR="00E031F4" w:rsidRPr="0030792C" w:rsidRDefault="00E031F4" w:rsidP="00E031F4">
            <w:pPr>
              <w:rPr>
                <w:rFonts w:ascii="Verdana" w:hAnsi="Verdana"/>
              </w:rPr>
            </w:pPr>
          </w:p>
        </w:tc>
      </w:tr>
    </w:tbl>
    <w:p w14:paraId="0671F897" w14:textId="3AD8DE7D" w:rsidR="007D1D6A" w:rsidRPr="00852F8C" w:rsidRDefault="007D1D6A" w:rsidP="003628BE">
      <w:pPr>
        <w:rPr>
          <w:rFonts w:ascii="Verdana" w:eastAsia="Times New Roman" w:hAnsi="Verdana" w:cs="Arial"/>
          <w:sz w:val="20"/>
          <w:szCs w:val="20"/>
        </w:rPr>
      </w:pPr>
    </w:p>
    <w:tbl>
      <w:tblPr>
        <w:tblStyle w:val="LightList-Accent5"/>
        <w:tblW w:w="10885" w:type="dxa"/>
        <w:tblInd w:w="-95" w:type="dxa"/>
        <w:tblBorders>
          <w:top w:val="single" w:sz="4" w:space="0" w:color="17365D" w:themeColor="text2" w:themeShade="BF"/>
          <w:left w:val="single" w:sz="4" w:space="0" w:color="17365D" w:themeColor="text2" w:themeShade="BF"/>
          <w:bottom w:val="single" w:sz="4" w:space="0" w:color="17365D" w:themeColor="text2" w:themeShade="BF"/>
          <w:right w:val="single" w:sz="4" w:space="0" w:color="17365D" w:themeColor="text2" w:themeShade="BF"/>
          <w:insideH w:val="single" w:sz="4" w:space="0" w:color="17365D" w:themeColor="text2" w:themeShade="BF"/>
          <w:insideV w:val="single" w:sz="4" w:space="0" w:color="17365D" w:themeColor="text2" w:themeShade="BF"/>
        </w:tblBorders>
        <w:tblLayout w:type="fixed"/>
        <w:tblLook w:val="04A0" w:firstRow="1" w:lastRow="0" w:firstColumn="1" w:lastColumn="0" w:noHBand="0" w:noVBand="1"/>
      </w:tblPr>
      <w:tblGrid>
        <w:gridCol w:w="10885"/>
      </w:tblGrid>
      <w:tr w:rsidR="004971A5" w:rsidRPr="00852F8C" w14:paraId="26EAAAF1" w14:textId="77777777" w:rsidTr="001C6E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85" w:type="dxa"/>
            <w:shd w:val="clear" w:color="auto" w:fill="00205B"/>
          </w:tcPr>
          <w:p w14:paraId="34B53623" w14:textId="79C97540" w:rsidR="004971A5" w:rsidRPr="00852F8C" w:rsidRDefault="004971A5" w:rsidP="001C6EB3">
            <w:pPr>
              <w:spacing w:after="240"/>
              <w:rPr>
                <w:rFonts w:ascii="Verdana" w:eastAsia="Times New Roman" w:hAnsi="Verdana" w:cs="Arial"/>
                <w:sz w:val="20"/>
                <w:szCs w:val="20"/>
              </w:rPr>
            </w:pPr>
            <w:r w:rsidRPr="00852F8C">
              <w:rPr>
                <w:rFonts w:ascii="Verdana" w:eastAsia="Times New Roman" w:hAnsi="Verdana" w:cs="Arial"/>
                <w:sz w:val="20"/>
                <w:szCs w:val="20"/>
              </w:rPr>
              <w:t xml:space="preserve">New Generics Review </w:t>
            </w:r>
          </w:p>
        </w:tc>
      </w:tr>
    </w:tbl>
    <w:tbl>
      <w:tblPr>
        <w:tblStyle w:val="TableGrid"/>
        <w:tblW w:w="10917" w:type="dxa"/>
        <w:tblInd w:w="-95" w:type="dxa"/>
        <w:tblLook w:val="04A0" w:firstRow="1" w:lastRow="0" w:firstColumn="1" w:lastColumn="0" w:noHBand="0" w:noVBand="1"/>
      </w:tblPr>
      <w:tblGrid>
        <w:gridCol w:w="2520"/>
        <w:gridCol w:w="4262"/>
        <w:gridCol w:w="4135"/>
      </w:tblGrid>
      <w:tr w:rsidR="004971A5" w:rsidRPr="00852F8C" w14:paraId="3AC4146F" w14:textId="77777777" w:rsidTr="001C6EB3">
        <w:trPr>
          <w:trHeight w:val="566"/>
        </w:trPr>
        <w:tc>
          <w:tcPr>
            <w:tcW w:w="2520" w:type="dxa"/>
          </w:tcPr>
          <w:p w14:paraId="13ACAB4E" w14:textId="77777777" w:rsidR="004971A5" w:rsidRPr="00852F8C" w:rsidRDefault="004971A5" w:rsidP="001C6EB3">
            <w:pPr>
              <w:spacing w:after="240"/>
              <w:rPr>
                <w:rFonts w:ascii="Verdana" w:eastAsia="Times New Roman" w:hAnsi="Verdana" w:cs="Arial"/>
                <w:sz w:val="20"/>
                <w:szCs w:val="20"/>
              </w:rPr>
            </w:pPr>
            <w:r w:rsidRPr="00852F8C">
              <w:rPr>
                <w:rFonts w:ascii="Verdana" w:hAnsi="Verdana"/>
                <w:b/>
                <w:bCs/>
                <w:sz w:val="20"/>
                <w:szCs w:val="20"/>
              </w:rPr>
              <w:t>Drug</w:t>
            </w:r>
          </w:p>
        </w:tc>
        <w:tc>
          <w:tcPr>
            <w:tcW w:w="4262" w:type="dxa"/>
          </w:tcPr>
          <w:p w14:paraId="62349B50" w14:textId="20D15088" w:rsidR="004971A5" w:rsidRPr="00AB22E9" w:rsidRDefault="00AB22E9" w:rsidP="001C6EB3">
            <w:pPr>
              <w:spacing w:after="240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AB22E9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Rationale/Alternative</w:t>
            </w:r>
          </w:p>
        </w:tc>
        <w:tc>
          <w:tcPr>
            <w:tcW w:w="4135" w:type="dxa"/>
          </w:tcPr>
          <w:p w14:paraId="17372CF3" w14:textId="77777777" w:rsidR="004971A5" w:rsidRPr="00852F8C" w:rsidRDefault="004971A5" w:rsidP="001C6EB3">
            <w:pPr>
              <w:spacing w:after="240"/>
              <w:rPr>
                <w:rFonts w:ascii="Verdana" w:eastAsia="Times New Roman" w:hAnsi="Verdana" w:cs="Arial"/>
                <w:sz w:val="20"/>
                <w:szCs w:val="20"/>
              </w:rPr>
            </w:pPr>
            <w:r w:rsidRPr="00852F8C">
              <w:rPr>
                <w:rFonts w:ascii="Verdana" w:hAnsi="Verdana"/>
                <w:b/>
                <w:sz w:val="20"/>
                <w:szCs w:val="20"/>
              </w:rPr>
              <w:t>Recommendation</w:t>
            </w:r>
          </w:p>
        </w:tc>
      </w:tr>
      <w:tr w:rsidR="00E031F4" w:rsidRPr="006547A2" w14:paraId="5ACE4110" w14:textId="77777777" w:rsidTr="001C6EB3">
        <w:tc>
          <w:tcPr>
            <w:tcW w:w="2520" w:type="dxa"/>
            <w:shd w:val="clear" w:color="auto" w:fill="auto"/>
          </w:tcPr>
          <w:p w14:paraId="3DBC151B" w14:textId="77777777" w:rsidR="00E031F4" w:rsidRPr="00AB1A50" w:rsidRDefault="00E031F4" w:rsidP="00E031F4">
            <w:pPr>
              <w:rPr>
                <w:rFonts w:ascii="Verdana" w:hAnsi="Verdana"/>
              </w:rPr>
            </w:pPr>
            <w:r w:rsidRPr="00AB1A50">
              <w:rPr>
                <w:rFonts w:ascii="Verdana" w:hAnsi="Verdana"/>
              </w:rPr>
              <w:t>Vuity (</w:t>
            </w:r>
            <w:r w:rsidRPr="00AB1A50">
              <w:rPr>
                <w:rFonts w:ascii="Verdana" w:hAnsi="Verdana"/>
                <w:b/>
                <w:bCs/>
              </w:rPr>
              <w:t>pilocarpine</w:t>
            </w:r>
            <w:r w:rsidRPr="00AB1A50">
              <w:rPr>
                <w:rFonts w:ascii="Verdana" w:hAnsi="Verdana"/>
              </w:rPr>
              <w:t>) 1.25% ophthalmic solution for presbyopia</w:t>
            </w:r>
          </w:p>
          <w:p w14:paraId="0F50BBF8" w14:textId="352FD1E9" w:rsidR="00E031F4" w:rsidRPr="006547A2" w:rsidRDefault="00E031F4" w:rsidP="00E031F4">
            <w:pPr>
              <w:rPr>
                <w:rFonts w:ascii="Verdana" w:hAnsi="Verdana" w:cs="Arial"/>
              </w:rPr>
            </w:pPr>
          </w:p>
        </w:tc>
        <w:tc>
          <w:tcPr>
            <w:tcW w:w="4262" w:type="dxa"/>
            <w:shd w:val="clear" w:color="auto" w:fill="auto"/>
          </w:tcPr>
          <w:p w14:paraId="73828DD7" w14:textId="77777777" w:rsidR="00E031F4" w:rsidRPr="00AB1A50" w:rsidRDefault="00E031F4" w:rsidP="00E031F4">
            <w:pPr>
              <w:rPr>
                <w:rFonts w:ascii="Verdana" w:hAnsi="Verdana"/>
              </w:rPr>
            </w:pPr>
            <w:r w:rsidRPr="00AB1A50">
              <w:rPr>
                <w:rFonts w:ascii="Verdana" w:hAnsi="Verdana"/>
              </w:rPr>
              <w:t>A new generic is now available, reducing the price from $78 per bottle to $53 per bottle</w:t>
            </w:r>
          </w:p>
          <w:p w14:paraId="2747E42C" w14:textId="26CBCFCA" w:rsidR="00E031F4" w:rsidRPr="006547A2" w:rsidRDefault="00E031F4" w:rsidP="00E031F4">
            <w:pPr>
              <w:rPr>
                <w:rFonts w:ascii="Verdana" w:hAnsi="Verdana"/>
              </w:rPr>
            </w:pPr>
          </w:p>
        </w:tc>
        <w:tc>
          <w:tcPr>
            <w:tcW w:w="4135" w:type="dxa"/>
            <w:shd w:val="clear" w:color="auto" w:fill="auto"/>
          </w:tcPr>
          <w:p w14:paraId="7288538F" w14:textId="77777777" w:rsidR="00E031F4" w:rsidRPr="00AB1A50" w:rsidRDefault="00E031F4" w:rsidP="00E031F4">
            <w:pPr>
              <w:rPr>
                <w:rFonts w:ascii="Verdana" w:hAnsi="Verdana"/>
              </w:rPr>
            </w:pPr>
            <w:r w:rsidRPr="00AB1A50">
              <w:rPr>
                <w:rFonts w:ascii="Verdana" w:hAnsi="Verdana"/>
              </w:rPr>
              <w:t>NF</w:t>
            </w:r>
            <w:r>
              <w:rPr>
                <w:rFonts w:ascii="Verdana" w:hAnsi="Verdana"/>
              </w:rPr>
              <w:t>:</w:t>
            </w:r>
            <w:r w:rsidRPr="00AB1A50">
              <w:rPr>
                <w:rFonts w:ascii="Verdana" w:hAnsi="Verdana"/>
              </w:rPr>
              <w:t xml:space="preserve"> all lines of business</w:t>
            </w:r>
          </w:p>
          <w:p w14:paraId="0C0945FA" w14:textId="3255B23D" w:rsidR="00E031F4" w:rsidRPr="006547A2" w:rsidRDefault="00E031F4" w:rsidP="00E031F4">
            <w:pPr>
              <w:rPr>
                <w:rFonts w:ascii="Verdana" w:hAnsi="Verdana"/>
              </w:rPr>
            </w:pPr>
          </w:p>
        </w:tc>
      </w:tr>
      <w:tr w:rsidR="00E031F4" w:rsidRPr="006547A2" w14:paraId="153DEB7E" w14:textId="77777777" w:rsidTr="001C6EB3">
        <w:tc>
          <w:tcPr>
            <w:tcW w:w="2520" w:type="dxa"/>
            <w:shd w:val="clear" w:color="auto" w:fill="auto"/>
          </w:tcPr>
          <w:p w14:paraId="6E0B6E15" w14:textId="77777777" w:rsidR="00E031F4" w:rsidRPr="00AB1A50" w:rsidRDefault="00E031F4" w:rsidP="00E031F4">
            <w:pPr>
              <w:rPr>
                <w:rFonts w:ascii="Verdana" w:hAnsi="Verdana"/>
              </w:rPr>
            </w:pPr>
            <w:proofErr w:type="spellStart"/>
            <w:r w:rsidRPr="00AB1A50">
              <w:rPr>
                <w:rFonts w:ascii="Verdana" w:hAnsi="Verdana"/>
              </w:rPr>
              <w:t>Tracleer</w:t>
            </w:r>
            <w:proofErr w:type="spellEnd"/>
            <w:r w:rsidRPr="00AB1A50">
              <w:rPr>
                <w:rFonts w:ascii="Verdana" w:hAnsi="Verdana"/>
              </w:rPr>
              <w:t xml:space="preserve"> (</w:t>
            </w:r>
            <w:proofErr w:type="spellStart"/>
            <w:r w:rsidRPr="00AB1A50">
              <w:rPr>
                <w:rFonts w:ascii="Verdana" w:hAnsi="Verdana"/>
                <w:b/>
                <w:bCs/>
              </w:rPr>
              <w:t>bosentan</w:t>
            </w:r>
            <w:proofErr w:type="spellEnd"/>
            <w:r w:rsidRPr="00AB1A50">
              <w:rPr>
                <w:rFonts w:ascii="Verdana" w:hAnsi="Verdana"/>
              </w:rPr>
              <w:t>) 32 mg tablet for oral suspension for pulmonary arterial hypertension</w:t>
            </w:r>
          </w:p>
          <w:p w14:paraId="0FDA7E69" w14:textId="0694AAAB" w:rsidR="00E031F4" w:rsidRPr="006547A2" w:rsidRDefault="00E031F4" w:rsidP="00E031F4">
            <w:pPr>
              <w:rPr>
                <w:rFonts w:ascii="Verdana" w:hAnsi="Verdana" w:cs="Arial"/>
              </w:rPr>
            </w:pPr>
          </w:p>
        </w:tc>
        <w:tc>
          <w:tcPr>
            <w:tcW w:w="4262" w:type="dxa"/>
            <w:shd w:val="clear" w:color="auto" w:fill="auto"/>
          </w:tcPr>
          <w:p w14:paraId="478B0461" w14:textId="77777777" w:rsidR="00E031F4" w:rsidRPr="00AB1A50" w:rsidRDefault="00E031F4" w:rsidP="00E031F4">
            <w:pPr>
              <w:rPr>
                <w:rFonts w:ascii="Verdana" w:hAnsi="Verdana"/>
              </w:rPr>
            </w:pPr>
            <w:r w:rsidRPr="00AB1A50">
              <w:rPr>
                <w:rFonts w:ascii="Verdana" w:hAnsi="Verdana"/>
              </w:rPr>
              <w:t xml:space="preserve">Generic tablet formulations of </w:t>
            </w:r>
            <w:proofErr w:type="spellStart"/>
            <w:r w:rsidRPr="00AB1A50">
              <w:rPr>
                <w:rFonts w:ascii="Verdana" w:hAnsi="Verdana"/>
              </w:rPr>
              <w:t>bosentan</w:t>
            </w:r>
            <w:proofErr w:type="spellEnd"/>
            <w:r w:rsidRPr="00AB1A50">
              <w:rPr>
                <w:rFonts w:ascii="Verdana" w:hAnsi="Verdana"/>
              </w:rPr>
              <w:t xml:space="preserve"> have been available since May 2019, though the oral dispersible tablets (ODT) have remained branded until now. A single manufacturer has launched a generic product which provides a 22% cost savings from brand.</w:t>
            </w:r>
          </w:p>
          <w:p w14:paraId="4C302C2E" w14:textId="4D08A897" w:rsidR="00E031F4" w:rsidRPr="006547A2" w:rsidRDefault="00E031F4" w:rsidP="00E031F4">
            <w:pPr>
              <w:rPr>
                <w:rFonts w:ascii="Verdana" w:hAnsi="Verdana"/>
              </w:rPr>
            </w:pPr>
          </w:p>
        </w:tc>
        <w:tc>
          <w:tcPr>
            <w:tcW w:w="4135" w:type="dxa"/>
            <w:shd w:val="clear" w:color="auto" w:fill="auto"/>
          </w:tcPr>
          <w:p w14:paraId="3B33D4AE" w14:textId="77777777" w:rsidR="00E031F4" w:rsidRPr="00AB1A50" w:rsidRDefault="00E031F4" w:rsidP="00E031F4">
            <w:pPr>
              <w:rPr>
                <w:rFonts w:ascii="Verdana" w:hAnsi="Verdana"/>
              </w:rPr>
            </w:pPr>
            <w:r w:rsidRPr="00AB1A50">
              <w:rPr>
                <w:rFonts w:ascii="Verdana" w:hAnsi="Verdana"/>
              </w:rPr>
              <w:t xml:space="preserve">NF: </w:t>
            </w:r>
            <w:proofErr w:type="spellStart"/>
            <w:r w:rsidRPr="00AB1A50">
              <w:rPr>
                <w:rFonts w:ascii="Verdana" w:hAnsi="Verdana"/>
              </w:rPr>
              <w:t>MedD</w:t>
            </w:r>
            <w:proofErr w:type="spellEnd"/>
            <w:r w:rsidRPr="00AB1A50">
              <w:rPr>
                <w:rFonts w:ascii="Verdana" w:hAnsi="Verdana"/>
              </w:rPr>
              <w:t>, PPO, IFP</w:t>
            </w:r>
          </w:p>
          <w:p w14:paraId="4E72F013" w14:textId="77777777" w:rsidR="00E031F4" w:rsidRPr="00AB1A50" w:rsidRDefault="00E031F4" w:rsidP="00E031F4">
            <w:pPr>
              <w:rPr>
                <w:rFonts w:ascii="Verdana" w:hAnsi="Verdana"/>
              </w:rPr>
            </w:pPr>
            <w:r w:rsidRPr="00AB1A50">
              <w:rPr>
                <w:rFonts w:ascii="Verdana" w:hAnsi="Verdana"/>
              </w:rPr>
              <w:t>NP: MA</w:t>
            </w:r>
          </w:p>
          <w:p w14:paraId="6F1BB6BA" w14:textId="28A88CD5" w:rsidR="00E031F4" w:rsidRPr="006547A2" w:rsidRDefault="00E031F4" w:rsidP="00E031F4">
            <w:pPr>
              <w:rPr>
                <w:rFonts w:ascii="Verdana" w:hAnsi="Verdana"/>
              </w:rPr>
            </w:pPr>
          </w:p>
        </w:tc>
      </w:tr>
      <w:tr w:rsidR="00E031F4" w:rsidRPr="006547A2" w14:paraId="466104D0" w14:textId="77777777" w:rsidTr="001C6EB3">
        <w:tc>
          <w:tcPr>
            <w:tcW w:w="2520" w:type="dxa"/>
            <w:shd w:val="clear" w:color="auto" w:fill="auto"/>
          </w:tcPr>
          <w:p w14:paraId="471AAA8F" w14:textId="2A70F314" w:rsidR="00E031F4" w:rsidRPr="006547A2" w:rsidRDefault="00E031F4" w:rsidP="00E031F4">
            <w:pPr>
              <w:rPr>
                <w:rFonts w:ascii="Verdana" w:hAnsi="Verdana" w:cs="Arial"/>
              </w:rPr>
            </w:pPr>
            <w:r w:rsidRPr="00AB1A50">
              <w:rPr>
                <w:rFonts w:ascii="Verdana" w:hAnsi="Verdana"/>
                <w:b/>
                <w:bCs/>
                <w:color w:val="000000"/>
              </w:rPr>
              <w:t xml:space="preserve">Kirsty </w:t>
            </w:r>
            <w:r w:rsidRPr="00AB1A50">
              <w:rPr>
                <w:rFonts w:ascii="Verdana" w:hAnsi="Verdana"/>
                <w:color w:val="000000"/>
              </w:rPr>
              <w:t xml:space="preserve">(insulin </w:t>
            </w:r>
            <w:proofErr w:type="spellStart"/>
            <w:r w:rsidRPr="00AB1A50">
              <w:rPr>
                <w:rFonts w:ascii="Verdana" w:hAnsi="Verdana"/>
                <w:color w:val="000000"/>
              </w:rPr>
              <w:t>aspart</w:t>
            </w:r>
            <w:proofErr w:type="spellEnd"/>
            <w:r w:rsidRPr="00AB1A50">
              <w:rPr>
                <w:rFonts w:ascii="Verdana" w:hAnsi="Verdana"/>
                <w:color w:val="000000"/>
              </w:rPr>
              <w:t>) 100 units/mL pen &amp; vial for glycemic control in diabetes</w:t>
            </w:r>
          </w:p>
        </w:tc>
        <w:tc>
          <w:tcPr>
            <w:tcW w:w="4262" w:type="dxa"/>
            <w:shd w:val="clear" w:color="auto" w:fill="auto"/>
          </w:tcPr>
          <w:p w14:paraId="650E1CBE" w14:textId="4A2A0880" w:rsidR="00E031F4" w:rsidRPr="006547A2" w:rsidRDefault="00E031F4" w:rsidP="00E031F4">
            <w:pPr>
              <w:rPr>
                <w:rFonts w:ascii="Verdana" w:hAnsi="Verdana"/>
              </w:rPr>
            </w:pPr>
            <w:r w:rsidRPr="00AB1A50">
              <w:rPr>
                <w:rFonts w:ascii="Verdana" w:hAnsi="Verdana"/>
              </w:rPr>
              <w:t xml:space="preserve">Kirsty is an interchangeable biosimilar for Novolog from Biocon. It does not represent the lowest net cost insulin </w:t>
            </w:r>
            <w:proofErr w:type="spellStart"/>
            <w:r w:rsidRPr="00AB1A50">
              <w:rPr>
                <w:rFonts w:ascii="Verdana" w:hAnsi="Verdana"/>
              </w:rPr>
              <w:t>aspart</w:t>
            </w:r>
            <w:proofErr w:type="spellEnd"/>
            <w:r w:rsidRPr="00AB1A50">
              <w:rPr>
                <w:rFonts w:ascii="Verdana" w:hAnsi="Verdana"/>
              </w:rPr>
              <w:t xml:space="preserve"> product</w:t>
            </w:r>
          </w:p>
        </w:tc>
        <w:tc>
          <w:tcPr>
            <w:tcW w:w="4135" w:type="dxa"/>
            <w:shd w:val="clear" w:color="auto" w:fill="auto"/>
          </w:tcPr>
          <w:p w14:paraId="69719B55" w14:textId="49950638" w:rsidR="00E031F4" w:rsidRPr="006547A2" w:rsidRDefault="00E031F4" w:rsidP="00E031F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F: all lines of business</w:t>
            </w:r>
          </w:p>
        </w:tc>
      </w:tr>
      <w:tr w:rsidR="00E031F4" w:rsidRPr="006547A2" w14:paraId="097E7538" w14:textId="77777777" w:rsidTr="001C6EB3">
        <w:tc>
          <w:tcPr>
            <w:tcW w:w="2520" w:type="dxa"/>
            <w:shd w:val="clear" w:color="auto" w:fill="auto"/>
          </w:tcPr>
          <w:p w14:paraId="751C6583" w14:textId="77777777" w:rsidR="00E031F4" w:rsidRPr="00AB1A50" w:rsidRDefault="00E031F4" w:rsidP="00E031F4">
            <w:pPr>
              <w:rPr>
                <w:rFonts w:ascii="Verdana" w:hAnsi="Verdana"/>
                <w:color w:val="000000"/>
              </w:rPr>
            </w:pPr>
            <w:proofErr w:type="spellStart"/>
            <w:r w:rsidRPr="00AB1A50">
              <w:rPr>
                <w:rFonts w:ascii="Verdana" w:hAnsi="Verdana"/>
                <w:color w:val="000000"/>
              </w:rPr>
              <w:lastRenderedPageBreak/>
              <w:t>Saxenda</w:t>
            </w:r>
            <w:proofErr w:type="spellEnd"/>
            <w:r w:rsidRPr="00AB1A50">
              <w:rPr>
                <w:rFonts w:ascii="Verdana" w:hAnsi="Verdana"/>
                <w:color w:val="000000"/>
              </w:rPr>
              <w:t xml:space="preserve"> (</w:t>
            </w:r>
            <w:r w:rsidRPr="00AB1A50">
              <w:rPr>
                <w:rFonts w:ascii="Verdana" w:hAnsi="Verdana"/>
                <w:b/>
                <w:bCs/>
                <w:color w:val="000000"/>
              </w:rPr>
              <w:t>liraglutide</w:t>
            </w:r>
            <w:r w:rsidRPr="00AB1A50">
              <w:rPr>
                <w:rFonts w:ascii="Verdana" w:hAnsi="Verdana"/>
                <w:color w:val="000000"/>
              </w:rPr>
              <w:t>) 18 mg/3 mL pen-injector for weight loss</w:t>
            </w:r>
          </w:p>
          <w:p w14:paraId="3DEBB748" w14:textId="7B2339EF" w:rsidR="00E031F4" w:rsidRPr="006547A2" w:rsidRDefault="00E031F4" w:rsidP="00E031F4">
            <w:pPr>
              <w:rPr>
                <w:rFonts w:ascii="Verdana" w:hAnsi="Verdana" w:cs="Arial"/>
              </w:rPr>
            </w:pPr>
          </w:p>
        </w:tc>
        <w:tc>
          <w:tcPr>
            <w:tcW w:w="4262" w:type="dxa"/>
            <w:shd w:val="clear" w:color="auto" w:fill="auto"/>
          </w:tcPr>
          <w:p w14:paraId="5D6F4441" w14:textId="77777777" w:rsidR="00E031F4" w:rsidRPr="00AB1A50" w:rsidRDefault="00E031F4" w:rsidP="00E031F4">
            <w:pPr>
              <w:rPr>
                <w:rFonts w:ascii="Verdana" w:hAnsi="Verdana"/>
              </w:rPr>
            </w:pPr>
            <w:r w:rsidRPr="00AB1A50">
              <w:rPr>
                <w:rFonts w:ascii="Verdana" w:hAnsi="Verdana"/>
              </w:rPr>
              <w:t xml:space="preserve">A single manufacturer launched a generic alternative for </w:t>
            </w:r>
            <w:proofErr w:type="spellStart"/>
            <w:r w:rsidRPr="00AB1A50">
              <w:rPr>
                <w:rFonts w:ascii="Verdana" w:hAnsi="Verdana"/>
              </w:rPr>
              <w:t>Saxenda</w:t>
            </w:r>
            <w:proofErr w:type="spellEnd"/>
            <w:r w:rsidRPr="00AB1A50">
              <w:rPr>
                <w:rFonts w:ascii="Verdana" w:hAnsi="Verdana"/>
              </w:rPr>
              <w:t xml:space="preserve"> at a 15% discount. Five other manufacturers are seeking generic entry and price erosion is anticipated with more generic competition expected in 2026.</w:t>
            </w:r>
          </w:p>
          <w:p w14:paraId="16E31F99" w14:textId="0BF2E392" w:rsidR="00E031F4" w:rsidRPr="006547A2" w:rsidRDefault="00E031F4" w:rsidP="00E031F4">
            <w:pPr>
              <w:rPr>
                <w:rFonts w:ascii="Verdana" w:hAnsi="Verdana"/>
              </w:rPr>
            </w:pPr>
          </w:p>
        </w:tc>
        <w:tc>
          <w:tcPr>
            <w:tcW w:w="4135" w:type="dxa"/>
            <w:shd w:val="clear" w:color="auto" w:fill="auto"/>
          </w:tcPr>
          <w:p w14:paraId="109A6096" w14:textId="77777777" w:rsidR="00E031F4" w:rsidRPr="00AB1A50" w:rsidRDefault="00E031F4" w:rsidP="00E031F4">
            <w:pPr>
              <w:rPr>
                <w:rFonts w:ascii="Verdana" w:hAnsi="Verdana"/>
              </w:rPr>
            </w:pPr>
            <w:r w:rsidRPr="00AB1A50">
              <w:rPr>
                <w:rFonts w:ascii="Verdana" w:hAnsi="Verdana"/>
              </w:rPr>
              <w:t xml:space="preserve">NF: </w:t>
            </w:r>
            <w:proofErr w:type="spellStart"/>
            <w:r w:rsidRPr="00AB1A50">
              <w:rPr>
                <w:rFonts w:ascii="Verdana" w:hAnsi="Verdana"/>
              </w:rPr>
              <w:t>MedD</w:t>
            </w:r>
            <w:proofErr w:type="spellEnd"/>
            <w:r w:rsidRPr="00AB1A50">
              <w:rPr>
                <w:rFonts w:ascii="Verdana" w:hAnsi="Verdana"/>
              </w:rPr>
              <w:t>, PPO, IFP</w:t>
            </w:r>
          </w:p>
          <w:p w14:paraId="0D780E59" w14:textId="77777777" w:rsidR="00E031F4" w:rsidRPr="00AB1A50" w:rsidRDefault="00E031F4" w:rsidP="00E031F4">
            <w:pPr>
              <w:rPr>
                <w:rFonts w:ascii="Verdana" w:hAnsi="Verdana"/>
              </w:rPr>
            </w:pPr>
            <w:r w:rsidRPr="00AB1A50">
              <w:rPr>
                <w:rFonts w:ascii="Verdana" w:hAnsi="Verdana"/>
              </w:rPr>
              <w:t>F: MA</w:t>
            </w:r>
          </w:p>
          <w:p w14:paraId="223FED47" w14:textId="07DBB915" w:rsidR="00E031F4" w:rsidRPr="006547A2" w:rsidRDefault="00E031F4" w:rsidP="00E031F4">
            <w:pPr>
              <w:rPr>
                <w:rFonts w:ascii="Verdana" w:hAnsi="Verdana"/>
              </w:rPr>
            </w:pPr>
          </w:p>
        </w:tc>
      </w:tr>
      <w:tr w:rsidR="00E031F4" w:rsidRPr="006547A2" w14:paraId="22504A76" w14:textId="77777777" w:rsidTr="001C6EB3">
        <w:tc>
          <w:tcPr>
            <w:tcW w:w="2520" w:type="dxa"/>
            <w:shd w:val="clear" w:color="auto" w:fill="auto"/>
          </w:tcPr>
          <w:p w14:paraId="51CB141E" w14:textId="77777777" w:rsidR="00E031F4" w:rsidRPr="00AB1A50" w:rsidRDefault="00E031F4" w:rsidP="00E031F4">
            <w:pPr>
              <w:rPr>
                <w:rFonts w:ascii="Verdana" w:hAnsi="Verdana"/>
                <w:color w:val="000000"/>
              </w:rPr>
            </w:pPr>
            <w:proofErr w:type="spellStart"/>
            <w:r w:rsidRPr="00AB1A50">
              <w:rPr>
                <w:rFonts w:ascii="Verdana" w:hAnsi="Verdana"/>
                <w:color w:val="000000"/>
              </w:rPr>
              <w:t>Adzenys</w:t>
            </w:r>
            <w:proofErr w:type="spellEnd"/>
            <w:r w:rsidRPr="00AB1A50">
              <w:rPr>
                <w:rFonts w:ascii="Verdana" w:hAnsi="Verdana"/>
                <w:color w:val="000000"/>
              </w:rPr>
              <w:t xml:space="preserve"> XR (</w:t>
            </w:r>
            <w:r w:rsidRPr="00AB1A50">
              <w:rPr>
                <w:rFonts w:ascii="Verdana" w:hAnsi="Verdana"/>
                <w:b/>
                <w:bCs/>
                <w:color w:val="000000"/>
              </w:rPr>
              <w:t>amphetamine ER</w:t>
            </w:r>
            <w:r w:rsidRPr="00AB1A50">
              <w:rPr>
                <w:rFonts w:ascii="Verdana" w:hAnsi="Verdana"/>
                <w:color w:val="000000"/>
              </w:rPr>
              <w:t>) 3.1, 6.3, 9.4, 12.5, 15.7 &amp; 18.8 mg oral disintegrating tablets for ADHD</w:t>
            </w:r>
          </w:p>
          <w:p w14:paraId="69BBF7BE" w14:textId="0ED11093" w:rsidR="00E031F4" w:rsidRPr="006547A2" w:rsidRDefault="00E031F4" w:rsidP="00E031F4">
            <w:pPr>
              <w:rPr>
                <w:rFonts w:ascii="Verdana" w:hAnsi="Verdana" w:cs="Arial"/>
              </w:rPr>
            </w:pPr>
          </w:p>
        </w:tc>
        <w:tc>
          <w:tcPr>
            <w:tcW w:w="4262" w:type="dxa"/>
            <w:shd w:val="clear" w:color="auto" w:fill="auto"/>
          </w:tcPr>
          <w:p w14:paraId="76CFAE0B" w14:textId="77777777" w:rsidR="00E031F4" w:rsidRPr="00AB1A50" w:rsidRDefault="00E031F4" w:rsidP="00E031F4">
            <w:pPr>
              <w:rPr>
                <w:rFonts w:ascii="Verdana" w:hAnsi="Verdana"/>
              </w:rPr>
            </w:pPr>
            <w:r w:rsidRPr="00AB1A50">
              <w:rPr>
                <w:rFonts w:ascii="Verdana" w:hAnsi="Verdana"/>
              </w:rPr>
              <w:t xml:space="preserve">An authorized generic equivalent of </w:t>
            </w:r>
            <w:proofErr w:type="spellStart"/>
            <w:r w:rsidRPr="00AB1A50">
              <w:rPr>
                <w:rFonts w:ascii="Verdana" w:hAnsi="Verdana"/>
              </w:rPr>
              <w:t>Adzenys</w:t>
            </w:r>
            <w:proofErr w:type="spellEnd"/>
            <w:r w:rsidRPr="00AB1A50">
              <w:rPr>
                <w:rFonts w:ascii="Verdana" w:hAnsi="Verdana"/>
              </w:rPr>
              <w:t xml:space="preserve"> XR launched at a small discount to the brand. </w:t>
            </w:r>
          </w:p>
          <w:p w14:paraId="6B1C1B92" w14:textId="6C18CF2E" w:rsidR="00E031F4" w:rsidRPr="006547A2" w:rsidRDefault="00E031F4" w:rsidP="00E031F4">
            <w:pPr>
              <w:rPr>
                <w:rFonts w:ascii="Verdana" w:hAnsi="Verdana"/>
              </w:rPr>
            </w:pPr>
          </w:p>
        </w:tc>
        <w:tc>
          <w:tcPr>
            <w:tcW w:w="4135" w:type="dxa"/>
            <w:shd w:val="clear" w:color="auto" w:fill="auto"/>
          </w:tcPr>
          <w:p w14:paraId="1854D276" w14:textId="77777777" w:rsidR="00E031F4" w:rsidRPr="00AB1A50" w:rsidRDefault="00E031F4" w:rsidP="00E031F4">
            <w:pPr>
              <w:rPr>
                <w:rFonts w:ascii="Verdana" w:hAnsi="Verdana"/>
              </w:rPr>
            </w:pPr>
            <w:r w:rsidRPr="00AB1A50">
              <w:rPr>
                <w:rFonts w:ascii="Verdana" w:hAnsi="Verdana"/>
              </w:rPr>
              <w:t>NF</w:t>
            </w:r>
            <w:r>
              <w:rPr>
                <w:rFonts w:ascii="Verdana" w:hAnsi="Verdana"/>
              </w:rPr>
              <w:t>:</w:t>
            </w:r>
            <w:r w:rsidRPr="00AB1A50">
              <w:rPr>
                <w:rFonts w:ascii="Verdana" w:hAnsi="Verdana"/>
              </w:rPr>
              <w:t xml:space="preserve"> all lines of business</w:t>
            </w:r>
          </w:p>
          <w:p w14:paraId="305AB14B" w14:textId="117283A2" w:rsidR="00E031F4" w:rsidRPr="006547A2" w:rsidRDefault="00E031F4" w:rsidP="00E031F4">
            <w:pPr>
              <w:rPr>
                <w:rFonts w:ascii="Verdana" w:hAnsi="Verdana"/>
              </w:rPr>
            </w:pPr>
          </w:p>
        </w:tc>
      </w:tr>
      <w:tr w:rsidR="00E031F4" w:rsidRPr="006547A2" w14:paraId="35A63BF4" w14:textId="77777777" w:rsidTr="001C6EB3">
        <w:tc>
          <w:tcPr>
            <w:tcW w:w="2520" w:type="dxa"/>
            <w:shd w:val="clear" w:color="auto" w:fill="auto"/>
          </w:tcPr>
          <w:p w14:paraId="091AB317" w14:textId="77777777" w:rsidR="00E031F4" w:rsidRPr="00AB1A50" w:rsidRDefault="00E031F4" w:rsidP="00E031F4">
            <w:pPr>
              <w:rPr>
                <w:rFonts w:ascii="Verdana" w:hAnsi="Verdana"/>
                <w:color w:val="000000"/>
              </w:rPr>
            </w:pPr>
            <w:proofErr w:type="spellStart"/>
            <w:r w:rsidRPr="00AB1A50">
              <w:rPr>
                <w:rFonts w:ascii="Verdana" w:hAnsi="Verdana"/>
                <w:color w:val="000000"/>
              </w:rPr>
              <w:t>Venofer</w:t>
            </w:r>
            <w:proofErr w:type="spellEnd"/>
            <w:r w:rsidRPr="00AB1A50">
              <w:rPr>
                <w:rFonts w:ascii="Verdana" w:hAnsi="Verdana"/>
                <w:color w:val="000000"/>
              </w:rPr>
              <w:t xml:space="preserve"> (</w:t>
            </w:r>
            <w:r w:rsidRPr="00AB1A50">
              <w:rPr>
                <w:rFonts w:ascii="Verdana" w:hAnsi="Verdana"/>
                <w:b/>
                <w:bCs/>
                <w:color w:val="000000"/>
              </w:rPr>
              <w:t>iron sucrose</w:t>
            </w:r>
            <w:r w:rsidRPr="00AB1A50">
              <w:rPr>
                <w:rFonts w:ascii="Verdana" w:hAnsi="Verdana"/>
                <w:color w:val="000000"/>
              </w:rPr>
              <w:t>) 20 mg/mL injection for iron deficient anemia in patients with chronic kidney disorder</w:t>
            </w:r>
          </w:p>
          <w:p w14:paraId="1A12B963" w14:textId="094C6C31" w:rsidR="00E031F4" w:rsidRPr="006547A2" w:rsidRDefault="00E031F4" w:rsidP="00E031F4">
            <w:pPr>
              <w:rPr>
                <w:rFonts w:ascii="Verdana" w:hAnsi="Verdana" w:cs="Arial"/>
              </w:rPr>
            </w:pPr>
          </w:p>
        </w:tc>
        <w:tc>
          <w:tcPr>
            <w:tcW w:w="4262" w:type="dxa"/>
            <w:shd w:val="clear" w:color="auto" w:fill="auto"/>
          </w:tcPr>
          <w:p w14:paraId="60553200" w14:textId="77777777" w:rsidR="00E031F4" w:rsidRPr="00AB1A50" w:rsidRDefault="00E031F4" w:rsidP="00E031F4">
            <w:pPr>
              <w:rPr>
                <w:rFonts w:ascii="Verdana" w:hAnsi="Verdana"/>
              </w:rPr>
            </w:pPr>
            <w:r w:rsidRPr="00AB1A50">
              <w:rPr>
                <w:rFonts w:ascii="Verdana" w:hAnsi="Verdana"/>
              </w:rPr>
              <w:t xml:space="preserve">A generic iron sucrose IV solution has launched, which is a generic for </w:t>
            </w:r>
            <w:proofErr w:type="spellStart"/>
            <w:r w:rsidRPr="00AB1A50">
              <w:rPr>
                <w:rFonts w:ascii="Verdana" w:hAnsi="Verdana"/>
              </w:rPr>
              <w:t>Venofer</w:t>
            </w:r>
            <w:proofErr w:type="spellEnd"/>
            <w:r w:rsidRPr="00AB1A50">
              <w:rPr>
                <w:rFonts w:ascii="Verdana" w:hAnsi="Verdana"/>
              </w:rPr>
              <w:t>.</w:t>
            </w:r>
          </w:p>
          <w:p w14:paraId="5B5EBAC5" w14:textId="05758A6F" w:rsidR="00E031F4" w:rsidRPr="006547A2" w:rsidRDefault="00E031F4" w:rsidP="00E031F4">
            <w:pPr>
              <w:rPr>
                <w:rFonts w:ascii="Verdana" w:hAnsi="Verdana"/>
              </w:rPr>
            </w:pPr>
          </w:p>
        </w:tc>
        <w:tc>
          <w:tcPr>
            <w:tcW w:w="4135" w:type="dxa"/>
            <w:shd w:val="clear" w:color="auto" w:fill="auto"/>
          </w:tcPr>
          <w:p w14:paraId="3F6C1021" w14:textId="77777777" w:rsidR="00E031F4" w:rsidRPr="00AB1A50" w:rsidRDefault="00E031F4" w:rsidP="00E031F4">
            <w:pPr>
              <w:rPr>
                <w:rFonts w:ascii="Verdana" w:hAnsi="Verdana"/>
              </w:rPr>
            </w:pPr>
            <w:r w:rsidRPr="00AB1A50">
              <w:rPr>
                <w:rFonts w:ascii="Verdana" w:hAnsi="Verdana"/>
              </w:rPr>
              <w:t>NF</w:t>
            </w:r>
            <w:r>
              <w:rPr>
                <w:rFonts w:ascii="Verdana" w:hAnsi="Verdana"/>
              </w:rPr>
              <w:t>:</w:t>
            </w:r>
            <w:r w:rsidRPr="00AB1A50">
              <w:rPr>
                <w:rFonts w:ascii="Verdana" w:hAnsi="Verdana"/>
              </w:rPr>
              <w:t xml:space="preserve"> all lines of business</w:t>
            </w:r>
          </w:p>
          <w:p w14:paraId="5C2FED0F" w14:textId="77777777" w:rsidR="00E031F4" w:rsidRPr="006547A2" w:rsidRDefault="00E031F4" w:rsidP="00E031F4">
            <w:pPr>
              <w:rPr>
                <w:rFonts w:ascii="Verdana" w:hAnsi="Verdana"/>
              </w:rPr>
            </w:pPr>
          </w:p>
        </w:tc>
      </w:tr>
      <w:tr w:rsidR="00E031F4" w:rsidRPr="006547A2" w14:paraId="5BFD520E" w14:textId="77777777" w:rsidTr="001C6EB3">
        <w:tc>
          <w:tcPr>
            <w:tcW w:w="2520" w:type="dxa"/>
            <w:shd w:val="clear" w:color="auto" w:fill="auto"/>
          </w:tcPr>
          <w:p w14:paraId="2FB38B92" w14:textId="77777777" w:rsidR="00E031F4" w:rsidRPr="00AB1A50" w:rsidRDefault="00E031F4" w:rsidP="00E031F4">
            <w:pPr>
              <w:rPr>
                <w:rFonts w:ascii="Verdana" w:hAnsi="Verdana"/>
                <w:color w:val="000000"/>
              </w:rPr>
            </w:pPr>
            <w:r w:rsidRPr="00AB1A50">
              <w:rPr>
                <w:rFonts w:ascii="Verdana" w:hAnsi="Verdana"/>
                <w:color w:val="000000"/>
                <w:lang w:val="pt-BR"/>
              </w:rPr>
              <w:t>Ecoza (</w:t>
            </w:r>
            <w:r w:rsidRPr="00AB1A50">
              <w:rPr>
                <w:rFonts w:ascii="Verdana" w:hAnsi="Verdana"/>
                <w:b/>
                <w:bCs/>
                <w:color w:val="000000"/>
                <w:lang w:val="pt-BR"/>
              </w:rPr>
              <w:t>econazole nitrate</w:t>
            </w:r>
            <w:r w:rsidRPr="00AB1A50">
              <w:rPr>
                <w:rFonts w:ascii="Verdana" w:hAnsi="Verdana"/>
                <w:color w:val="000000"/>
                <w:lang w:val="pt-BR"/>
              </w:rPr>
              <w:t>) 1% foam for tinea pedis (athlete’s foot)</w:t>
            </w:r>
          </w:p>
          <w:p w14:paraId="008BA9B7" w14:textId="53DF3930" w:rsidR="00E031F4" w:rsidRPr="006547A2" w:rsidRDefault="00E031F4" w:rsidP="00E031F4">
            <w:pPr>
              <w:rPr>
                <w:rFonts w:ascii="Verdana" w:hAnsi="Verdana" w:cs="Arial"/>
              </w:rPr>
            </w:pPr>
          </w:p>
        </w:tc>
        <w:tc>
          <w:tcPr>
            <w:tcW w:w="4262" w:type="dxa"/>
            <w:shd w:val="clear" w:color="auto" w:fill="auto"/>
          </w:tcPr>
          <w:p w14:paraId="15FE21C1" w14:textId="77777777" w:rsidR="00E031F4" w:rsidRPr="00AB1A50" w:rsidRDefault="00E031F4" w:rsidP="00E031F4">
            <w:pPr>
              <w:rPr>
                <w:rFonts w:ascii="Verdana" w:hAnsi="Verdana"/>
              </w:rPr>
            </w:pPr>
            <w:r w:rsidRPr="00AB1A50">
              <w:rPr>
                <w:rFonts w:ascii="Verdana" w:hAnsi="Verdana"/>
              </w:rPr>
              <w:t xml:space="preserve">An authorized generic of </w:t>
            </w:r>
            <w:proofErr w:type="spellStart"/>
            <w:r w:rsidRPr="00AB1A50">
              <w:rPr>
                <w:rFonts w:ascii="Verdana" w:hAnsi="Verdana"/>
              </w:rPr>
              <w:t>Ecoza</w:t>
            </w:r>
            <w:proofErr w:type="spellEnd"/>
            <w:r w:rsidRPr="00AB1A50">
              <w:rPr>
                <w:rFonts w:ascii="Verdana" w:hAnsi="Verdana"/>
              </w:rPr>
              <w:t xml:space="preserve"> has launched. The new generically named product is 3X more expensive than the brand.</w:t>
            </w:r>
          </w:p>
          <w:p w14:paraId="08FA9272" w14:textId="78AE59BD" w:rsidR="00E031F4" w:rsidRPr="006547A2" w:rsidRDefault="00E031F4" w:rsidP="00E031F4">
            <w:pPr>
              <w:rPr>
                <w:rFonts w:ascii="Verdana" w:hAnsi="Verdana"/>
              </w:rPr>
            </w:pPr>
          </w:p>
        </w:tc>
        <w:tc>
          <w:tcPr>
            <w:tcW w:w="4135" w:type="dxa"/>
            <w:shd w:val="clear" w:color="auto" w:fill="auto"/>
          </w:tcPr>
          <w:p w14:paraId="5161A80D" w14:textId="77777777" w:rsidR="00E031F4" w:rsidRPr="00AB1A50" w:rsidRDefault="00E031F4" w:rsidP="00E031F4">
            <w:pPr>
              <w:rPr>
                <w:rFonts w:ascii="Verdana" w:hAnsi="Verdana"/>
              </w:rPr>
            </w:pPr>
            <w:r w:rsidRPr="00AB1A50">
              <w:rPr>
                <w:rFonts w:ascii="Verdana" w:hAnsi="Verdana"/>
              </w:rPr>
              <w:t>NF</w:t>
            </w:r>
            <w:r>
              <w:rPr>
                <w:rFonts w:ascii="Verdana" w:hAnsi="Verdana"/>
              </w:rPr>
              <w:t>:</w:t>
            </w:r>
            <w:r w:rsidRPr="00AB1A50">
              <w:rPr>
                <w:rFonts w:ascii="Verdana" w:hAnsi="Verdana"/>
              </w:rPr>
              <w:t xml:space="preserve"> all lines of business</w:t>
            </w:r>
          </w:p>
          <w:p w14:paraId="0FD0E567" w14:textId="7130906D" w:rsidR="00E031F4" w:rsidRPr="006547A2" w:rsidRDefault="00E031F4" w:rsidP="00E031F4">
            <w:pPr>
              <w:rPr>
                <w:rFonts w:ascii="Verdana" w:hAnsi="Verdana"/>
              </w:rPr>
            </w:pPr>
          </w:p>
        </w:tc>
      </w:tr>
      <w:tr w:rsidR="00E031F4" w:rsidRPr="006547A2" w14:paraId="1EE88C20" w14:textId="77777777" w:rsidTr="001C6EB3">
        <w:tc>
          <w:tcPr>
            <w:tcW w:w="2520" w:type="dxa"/>
            <w:shd w:val="clear" w:color="auto" w:fill="auto"/>
          </w:tcPr>
          <w:p w14:paraId="2A78EABE" w14:textId="77777777" w:rsidR="00E031F4" w:rsidRPr="00AB1A50" w:rsidRDefault="00E031F4" w:rsidP="00E031F4">
            <w:pPr>
              <w:rPr>
                <w:rFonts w:ascii="Verdana" w:hAnsi="Verdana"/>
                <w:color w:val="000000"/>
              </w:rPr>
            </w:pPr>
            <w:proofErr w:type="spellStart"/>
            <w:r w:rsidRPr="00AB1A50">
              <w:rPr>
                <w:rFonts w:ascii="Verdana" w:hAnsi="Verdana"/>
                <w:color w:val="000000"/>
              </w:rPr>
              <w:t>Endometrin</w:t>
            </w:r>
            <w:proofErr w:type="spellEnd"/>
            <w:r w:rsidRPr="00AB1A50">
              <w:rPr>
                <w:rFonts w:ascii="Verdana" w:hAnsi="Verdana"/>
                <w:color w:val="000000"/>
              </w:rPr>
              <w:t xml:space="preserve"> (</w:t>
            </w:r>
            <w:r w:rsidRPr="00AB1A50">
              <w:rPr>
                <w:rFonts w:ascii="Verdana" w:hAnsi="Verdana"/>
                <w:b/>
                <w:bCs/>
                <w:color w:val="000000"/>
              </w:rPr>
              <w:t>progesterone</w:t>
            </w:r>
            <w:r w:rsidRPr="00AB1A50">
              <w:rPr>
                <w:rFonts w:ascii="Verdana" w:hAnsi="Verdana"/>
                <w:color w:val="000000"/>
              </w:rPr>
              <w:t>) vaginal suppository for early pregnancy support</w:t>
            </w:r>
          </w:p>
          <w:p w14:paraId="347F1E2C" w14:textId="35A1D8C7" w:rsidR="00E031F4" w:rsidRPr="006547A2" w:rsidRDefault="00E031F4" w:rsidP="00E031F4">
            <w:pPr>
              <w:rPr>
                <w:rFonts w:ascii="Verdana" w:hAnsi="Verdana" w:cs="Arial"/>
              </w:rPr>
            </w:pPr>
          </w:p>
        </w:tc>
        <w:tc>
          <w:tcPr>
            <w:tcW w:w="4262" w:type="dxa"/>
            <w:shd w:val="clear" w:color="auto" w:fill="auto"/>
          </w:tcPr>
          <w:p w14:paraId="7BD243B3" w14:textId="77777777" w:rsidR="00E031F4" w:rsidRPr="00AB1A50" w:rsidRDefault="00E031F4" w:rsidP="00E031F4">
            <w:pPr>
              <w:rPr>
                <w:rFonts w:ascii="Verdana" w:hAnsi="Verdana"/>
              </w:rPr>
            </w:pPr>
            <w:r w:rsidRPr="00AB1A50">
              <w:rPr>
                <w:rFonts w:ascii="Verdana" w:hAnsi="Verdana"/>
              </w:rPr>
              <w:t xml:space="preserve">A generic for </w:t>
            </w:r>
            <w:proofErr w:type="spellStart"/>
            <w:r w:rsidRPr="00AB1A50">
              <w:rPr>
                <w:rFonts w:ascii="Verdana" w:hAnsi="Verdana"/>
              </w:rPr>
              <w:t>Endometrin</w:t>
            </w:r>
            <w:proofErr w:type="spellEnd"/>
            <w:r w:rsidRPr="00AB1A50">
              <w:rPr>
                <w:rFonts w:ascii="Verdana" w:hAnsi="Verdana"/>
              </w:rPr>
              <w:t xml:space="preserve"> vaginal suppositories has launched at an approximately 10% discount to the brand. There is only 1 manufacturer that launched a generic product. It is unknown if, or when, additional manufacturers might enter the market.</w:t>
            </w:r>
          </w:p>
          <w:p w14:paraId="0BB53CB4" w14:textId="109ADCFC" w:rsidR="00E031F4" w:rsidRPr="006547A2" w:rsidRDefault="00E031F4" w:rsidP="00E031F4">
            <w:pPr>
              <w:rPr>
                <w:rFonts w:ascii="Verdana" w:hAnsi="Verdana"/>
              </w:rPr>
            </w:pPr>
          </w:p>
        </w:tc>
        <w:tc>
          <w:tcPr>
            <w:tcW w:w="4135" w:type="dxa"/>
            <w:shd w:val="clear" w:color="auto" w:fill="auto"/>
          </w:tcPr>
          <w:p w14:paraId="4C7C3192" w14:textId="77777777" w:rsidR="00E031F4" w:rsidRPr="00AB1A50" w:rsidRDefault="00E031F4" w:rsidP="00E031F4">
            <w:pPr>
              <w:tabs>
                <w:tab w:val="left" w:pos="930"/>
              </w:tabs>
              <w:rPr>
                <w:rFonts w:ascii="Verdana" w:hAnsi="Verdana"/>
              </w:rPr>
            </w:pPr>
            <w:r w:rsidRPr="00AB1A50">
              <w:rPr>
                <w:rFonts w:ascii="Verdana" w:hAnsi="Verdana"/>
              </w:rPr>
              <w:t>NF: all lines of business</w:t>
            </w:r>
          </w:p>
          <w:p w14:paraId="42E67A24" w14:textId="26092EFB" w:rsidR="00E031F4" w:rsidRPr="006547A2" w:rsidRDefault="00E031F4" w:rsidP="00E031F4">
            <w:pPr>
              <w:rPr>
                <w:rFonts w:ascii="Verdana" w:hAnsi="Verdana"/>
              </w:rPr>
            </w:pPr>
          </w:p>
        </w:tc>
      </w:tr>
      <w:tr w:rsidR="00E031F4" w:rsidRPr="006547A2" w14:paraId="7C515A9A" w14:textId="77777777" w:rsidTr="001C6EB3">
        <w:tc>
          <w:tcPr>
            <w:tcW w:w="2520" w:type="dxa"/>
            <w:shd w:val="clear" w:color="auto" w:fill="auto"/>
          </w:tcPr>
          <w:p w14:paraId="6195C47C" w14:textId="77777777" w:rsidR="00E031F4" w:rsidRPr="00AB1A50" w:rsidRDefault="00E031F4" w:rsidP="00E031F4">
            <w:pPr>
              <w:rPr>
                <w:rFonts w:ascii="Verdana" w:hAnsi="Verdana"/>
                <w:color w:val="000000"/>
              </w:rPr>
            </w:pPr>
            <w:proofErr w:type="spellStart"/>
            <w:r w:rsidRPr="00AB1A50">
              <w:rPr>
                <w:rFonts w:ascii="Verdana" w:hAnsi="Verdana"/>
                <w:color w:val="000000"/>
              </w:rPr>
              <w:t>Gralise</w:t>
            </w:r>
            <w:proofErr w:type="spellEnd"/>
            <w:r w:rsidRPr="00AB1A50">
              <w:rPr>
                <w:rFonts w:ascii="Verdana" w:hAnsi="Verdana"/>
                <w:color w:val="000000"/>
              </w:rPr>
              <w:t xml:space="preserve"> (</w:t>
            </w:r>
            <w:r w:rsidRPr="00AB1A50">
              <w:rPr>
                <w:rFonts w:ascii="Verdana" w:hAnsi="Verdana"/>
                <w:b/>
                <w:bCs/>
                <w:color w:val="000000"/>
              </w:rPr>
              <w:t>gabapentin</w:t>
            </w:r>
            <w:r w:rsidRPr="00AB1A50">
              <w:rPr>
                <w:rFonts w:ascii="Verdana" w:hAnsi="Verdana"/>
                <w:color w:val="000000"/>
              </w:rPr>
              <w:t>) 450, 750, &amp; 900 mg tablets for postherpetic neuralgia</w:t>
            </w:r>
          </w:p>
          <w:p w14:paraId="612B53F0" w14:textId="1D062B2D" w:rsidR="00E031F4" w:rsidRPr="006547A2" w:rsidRDefault="00E031F4" w:rsidP="00E031F4">
            <w:pPr>
              <w:rPr>
                <w:rFonts w:ascii="Verdana" w:hAnsi="Verdana" w:cs="Arial"/>
              </w:rPr>
            </w:pPr>
          </w:p>
        </w:tc>
        <w:tc>
          <w:tcPr>
            <w:tcW w:w="4262" w:type="dxa"/>
            <w:shd w:val="clear" w:color="auto" w:fill="auto"/>
          </w:tcPr>
          <w:p w14:paraId="499FB6BE" w14:textId="77777777" w:rsidR="00E031F4" w:rsidRPr="00AB1A50" w:rsidRDefault="00E031F4" w:rsidP="00E031F4">
            <w:pPr>
              <w:rPr>
                <w:rFonts w:ascii="Verdana" w:hAnsi="Verdana"/>
              </w:rPr>
            </w:pPr>
            <w:r w:rsidRPr="00AB1A50">
              <w:rPr>
                <w:rFonts w:ascii="Verdana" w:hAnsi="Verdana"/>
              </w:rPr>
              <w:t xml:space="preserve">Additional strengths of </w:t>
            </w:r>
            <w:proofErr w:type="spellStart"/>
            <w:r w:rsidRPr="00AB1A50">
              <w:rPr>
                <w:rFonts w:ascii="Verdana" w:hAnsi="Verdana"/>
              </w:rPr>
              <w:t>Gralise</w:t>
            </w:r>
            <w:proofErr w:type="spellEnd"/>
            <w:r w:rsidRPr="00AB1A50">
              <w:rPr>
                <w:rFonts w:ascii="Verdana" w:hAnsi="Verdana"/>
              </w:rPr>
              <w:t xml:space="preserve"> are now available as generic gabapentin. This once daily gabapentin tablet is indicated for postherpetic neuralgia </w:t>
            </w:r>
          </w:p>
          <w:p w14:paraId="563FF88D" w14:textId="143517A7" w:rsidR="00E031F4" w:rsidRPr="006547A2" w:rsidRDefault="00E031F4" w:rsidP="00E031F4">
            <w:pPr>
              <w:rPr>
                <w:rFonts w:ascii="Verdana" w:hAnsi="Verdana"/>
              </w:rPr>
            </w:pPr>
          </w:p>
        </w:tc>
        <w:tc>
          <w:tcPr>
            <w:tcW w:w="4135" w:type="dxa"/>
            <w:shd w:val="clear" w:color="auto" w:fill="auto"/>
          </w:tcPr>
          <w:p w14:paraId="0F326DDE" w14:textId="77777777" w:rsidR="00E031F4" w:rsidRPr="00AB1A50" w:rsidRDefault="00E031F4" w:rsidP="00E031F4">
            <w:pPr>
              <w:rPr>
                <w:rFonts w:ascii="Verdana" w:hAnsi="Verdana"/>
              </w:rPr>
            </w:pPr>
            <w:r w:rsidRPr="00AB1A50">
              <w:rPr>
                <w:rFonts w:ascii="Verdana" w:hAnsi="Verdana"/>
              </w:rPr>
              <w:t>NF: all lines of business</w:t>
            </w:r>
          </w:p>
          <w:p w14:paraId="6F2F154F" w14:textId="372E3AA0" w:rsidR="00E031F4" w:rsidRPr="006547A2" w:rsidRDefault="00E031F4" w:rsidP="00E031F4">
            <w:pPr>
              <w:rPr>
                <w:rFonts w:ascii="Verdana" w:hAnsi="Verdana"/>
              </w:rPr>
            </w:pPr>
          </w:p>
        </w:tc>
      </w:tr>
      <w:tr w:rsidR="00E031F4" w:rsidRPr="006547A2" w14:paraId="0A55F13E" w14:textId="77777777" w:rsidTr="001C6EB3">
        <w:tc>
          <w:tcPr>
            <w:tcW w:w="2520" w:type="dxa"/>
            <w:shd w:val="clear" w:color="auto" w:fill="auto"/>
          </w:tcPr>
          <w:p w14:paraId="1CADA522" w14:textId="77777777" w:rsidR="00E031F4" w:rsidRPr="00AB1A50" w:rsidRDefault="00E031F4" w:rsidP="00E031F4">
            <w:pPr>
              <w:rPr>
                <w:rFonts w:ascii="Verdana" w:hAnsi="Verdana"/>
                <w:color w:val="000000"/>
              </w:rPr>
            </w:pPr>
            <w:proofErr w:type="spellStart"/>
            <w:r w:rsidRPr="00AB1A50">
              <w:rPr>
                <w:rFonts w:ascii="Verdana" w:hAnsi="Verdana"/>
                <w:color w:val="000000"/>
              </w:rPr>
              <w:lastRenderedPageBreak/>
              <w:t>Ravicti</w:t>
            </w:r>
            <w:proofErr w:type="spellEnd"/>
            <w:r w:rsidRPr="00AB1A50">
              <w:rPr>
                <w:rFonts w:ascii="Verdana" w:hAnsi="Verdana"/>
                <w:color w:val="000000"/>
              </w:rPr>
              <w:t xml:space="preserve"> (</w:t>
            </w:r>
            <w:r w:rsidRPr="00AB1A50">
              <w:rPr>
                <w:rFonts w:ascii="Verdana" w:hAnsi="Verdana"/>
                <w:b/>
                <w:bCs/>
                <w:color w:val="000000"/>
              </w:rPr>
              <w:t>glycerol phenylbutyrate</w:t>
            </w:r>
            <w:r w:rsidRPr="00AB1A50">
              <w:rPr>
                <w:rFonts w:ascii="Verdana" w:hAnsi="Verdana"/>
                <w:color w:val="000000"/>
              </w:rPr>
              <w:t>) 1.1 g/mL oral solution for urea cycle disorders</w:t>
            </w:r>
          </w:p>
          <w:p w14:paraId="0E858EE4" w14:textId="458CE74B" w:rsidR="00E031F4" w:rsidRPr="00135AD4" w:rsidRDefault="00E031F4" w:rsidP="00E031F4">
            <w:pPr>
              <w:rPr>
                <w:rFonts w:ascii="Verdana" w:hAnsi="Verdana"/>
                <w:color w:val="000000"/>
              </w:rPr>
            </w:pPr>
          </w:p>
        </w:tc>
        <w:tc>
          <w:tcPr>
            <w:tcW w:w="4262" w:type="dxa"/>
            <w:shd w:val="clear" w:color="auto" w:fill="auto"/>
          </w:tcPr>
          <w:p w14:paraId="4CA4C7C4" w14:textId="77777777" w:rsidR="00E031F4" w:rsidRPr="00AB1A50" w:rsidRDefault="00E031F4" w:rsidP="00E031F4">
            <w:pPr>
              <w:rPr>
                <w:rFonts w:ascii="Verdana" w:hAnsi="Verdana"/>
              </w:rPr>
            </w:pPr>
            <w:r w:rsidRPr="00AB1A50">
              <w:rPr>
                <w:rFonts w:ascii="Verdana" w:hAnsi="Verdana"/>
              </w:rPr>
              <w:t>Glycerol phenylbutyrate generic recently launched at approximately 20% discount from brand.</w:t>
            </w:r>
          </w:p>
          <w:p w14:paraId="34C78790" w14:textId="10B331DF" w:rsidR="00E031F4" w:rsidRPr="00135AD4" w:rsidRDefault="00E031F4" w:rsidP="00E031F4">
            <w:pPr>
              <w:rPr>
                <w:rFonts w:ascii="Verdana" w:hAnsi="Verdana"/>
              </w:rPr>
            </w:pPr>
          </w:p>
        </w:tc>
        <w:tc>
          <w:tcPr>
            <w:tcW w:w="4135" w:type="dxa"/>
            <w:shd w:val="clear" w:color="auto" w:fill="auto"/>
          </w:tcPr>
          <w:p w14:paraId="68908FCE" w14:textId="77777777" w:rsidR="00E031F4" w:rsidRPr="00AB1A50" w:rsidRDefault="00E031F4" w:rsidP="00E031F4">
            <w:pPr>
              <w:rPr>
                <w:rFonts w:ascii="Verdana" w:hAnsi="Verdana"/>
              </w:rPr>
            </w:pPr>
            <w:r w:rsidRPr="00AB1A50">
              <w:rPr>
                <w:rFonts w:ascii="Verdana" w:hAnsi="Verdana"/>
              </w:rPr>
              <w:t xml:space="preserve">NF: </w:t>
            </w:r>
            <w:proofErr w:type="spellStart"/>
            <w:r w:rsidRPr="00AB1A50">
              <w:rPr>
                <w:rFonts w:ascii="Verdana" w:hAnsi="Verdana"/>
              </w:rPr>
              <w:t>MedD</w:t>
            </w:r>
            <w:proofErr w:type="spellEnd"/>
            <w:r w:rsidRPr="00AB1A50">
              <w:rPr>
                <w:rFonts w:ascii="Verdana" w:hAnsi="Verdana"/>
              </w:rPr>
              <w:t>, PPO, IFP</w:t>
            </w:r>
          </w:p>
          <w:p w14:paraId="0CE9B75E" w14:textId="77777777" w:rsidR="00E031F4" w:rsidRPr="00AB1A50" w:rsidRDefault="00E031F4" w:rsidP="00E031F4">
            <w:pPr>
              <w:rPr>
                <w:rFonts w:ascii="Verdana" w:hAnsi="Verdana"/>
              </w:rPr>
            </w:pPr>
            <w:r w:rsidRPr="00AB1A50">
              <w:rPr>
                <w:rFonts w:ascii="Verdana" w:hAnsi="Verdana"/>
              </w:rPr>
              <w:t>MA: F</w:t>
            </w:r>
          </w:p>
          <w:p w14:paraId="65A87323" w14:textId="6F2196BD" w:rsidR="00E031F4" w:rsidRDefault="00E031F4" w:rsidP="00E031F4">
            <w:pPr>
              <w:rPr>
                <w:rFonts w:ascii="Verdana" w:hAnsi="Verdana"/>
              </w:rPr>
            </w:pPr>
          </w:p>
        </w:tc>
      </w:tr>
      <w:tr w:rsidR="00E031F4" w:rsidRPr="006547A2" w14:paraId="6A6BBFE8" w14:textId="77777777" w:rsidTr="001C6EB3">
        <w:tc>
          <w:tcPr>
            <w:tcW w:w="2520" w:type="dxa"/>
            <w:shd w:val="clear" w:color="auto" w:fill="auto"/>
          </w:tcPr>
          <w:p w14:paraId="7D2C4957" w14:textId="77777777" w:rsidR="00E031F4" w:rsidRPr="00AB1A50" w:rsidRDefault="00E031F4" w:rsidP="00E031F4">
            <w:pPr>
              <w:rPr>
                <w:rFonts w:ascii="Verdana" w:hAnsi="Verdana"/>
                <w:color w:val="000000"/>
              </w:rPr>
            </w:pPr>
            <w:r w:rsidRPr="00AB1A50">
              <w:rPr>
                <w:rFonts w:ascii="Verdana" w:hAnsi="Verdana"/>
                <w:color w:val="000000"/>
                <w:lang w:val="nn-NO"/>
              </w:rPr>
              <w:t>Rytary (</w:t>
            </w:r>
            <w:r w:rsidRPr="00AB1A50">
              <w:rPr>
                <w:rFonts w:ascii="Verdana" w:hAnsi="Verdana"/>
                <w:b/>
                <w:bCs/>
                <w:color w:val="000000"/>
                <w:lang w:val="nn-NO"/>
              </w:rPr>
              <w:t>carbidopa-levodopa</w:t>
            </w:r>
            <w:r w:rsidRPr="00AB1A50">
              <w:rPr>
                <w:rFonts w:ascii="Verdana" w:hAnsi="Verdana"/>
                <w:color w:val="000000"/>
                <w:lang w:val="nn-NO"/>
              </w:rPr>
              <w:t>) 23.75-95, 36.25-145, 48.75-196, &amp; 61.25-245 mg ER capsules for Parkinson’s disease</w:t>
            </w:r>
          </w:p>
          <w:p w14:paraId="42687EB6" w14:textId="4991F353" w:rsidR="00E031F4" w:rsidRPr="00135AD4" w:rsidRDefault="00E031F4" w:rsidP="00E031F4">
            <w:pPr>
              <w:rPr>
                <w:rFonts w:ascii="Verdana" w:hAnsi="Verdana"/>
                <w:color w:val="000000"/>
              </w:rPr>
            </w:pPr>
          </w:p>
        </w:tc>
        <w:tc>
          <w:tcPr>
            <w:tcW w:w="4262" w:type="dxa"/>
            <w:shd w:val="clear" w:color="auto" w:fill="auto"/>
          </w:tcPr>
          <w:p w14:paraId="270697A7" w14:textId="77777777" w:rsidR="00E031F4" w:rsidRPr="00AB1A50" w:rsidRDefault="00E031F4" w:rsidP="00E031F4">
            <w:pPr>
              <w:rPr>
                <w:rFonts w:ascii="Verdana" w:hAnsi="Verdana"/>
              </w:rPr>
            </w:pPr>
            <w:r w:rsidRPr="00AB1A50">
              <w:rPr>
                <w:rFonts w:ascii="Verdana" w:hAnsi="Verdana"/>
              </w:rPr>
              <w:t xml:space="preserve">A new authorized generic of carbidopa-levodopa ER capsules recently launched. </w:t>
            </w:r>
          </w:p>
          <w:p w14:paraId="3DD1E163" w14:textId="77777777" w:rsidR="00E031F4" w:rsidRPr="00135AD4" w:rsidRDefault="00E031F4" w:rsidP="00E031F4">
            <w:pPr>
              <w:rPr>
                <w:rFonts w:ascii="Verdana" w:hAnsi="Verdana"/>
              </w:rPr>
            </w:pPr>
          </w:p>
        </w:tc>
        <w:tc>
          <w:tcPr>
            <w:tcW w:w="4135" w:type="dxa"/>
            <w:shd w:val="clear" w:color="auto" w:fill="auto"/>
          </w:tcPr>
          <w:p w14:paraId="42F49DB0" w14:textId="77777777" w:rsidR="00E031F4" w:rsidRPr="00AB1A50" w:rsidRDefault="00E031F4" w:rsidP="00E031F4">
            <w:pPr>
              <w:rPr>
                <w:rFonts w:ascii="Verdana" w:hAnsi="Verdana"/>
              </w:rPr>
            </w:pPr>
            <w:r w:rsidRPr="00AB1A50">
              <w:rPr>
                <w:rFonts w:ascii="Verdana" w:hAnsi="Verdana"/>
              </w:rPr>
              <w:t xml:space="preserve">NF: </w:t>
            </w:r>
            <w:proofErr w:type="spellStart"/>
            <w:r w:rsidRPr="00AB1A50">
              <w:rPr>
                <w:rFonts w:ascii="Verdana" w:hAnsi="Verdana"/>
              </w:rPr>
              <w:t>MedD</w:t>
            </w:r>
            <w:proofErr w:type="spellEnd"/>
            <w:r w:rsidRPr="00AB1A50">
              <w:rPr>
                <w:rFonts w:ascii="Verdana" w:hAnsi="Verdana"/>
              </w:rPr>
              <w:t>, PPO, IFP</w:t>
            </w:r>
          </w:p>
          <w:p w14:paraId="3D522F5F" w14:textId="77777777" w:rsidR="00E031F4" w:rsidRPr="00AB1A50" w:rsidRDefault="00E031F4" w:rsidP="00E031F4">
            <w:pPr>
              <w:rPr>
                <w:rFonts w:ascii="Verdana" w:hAnsi="Verdana"/>
              </w:rPr>
            </w:pPr>
            <w:r w:rsidRPr="00AB1A50">
              <w:rPr>
                <w:rFonts w:ascii="Verdana" w:hAnsi="Verdana"/>
              </w:rPr>
              <w:t>MA: PDL</w:t>
            </w:r>
          </w:p>
          <w:p w14:paraId="37C06191" w14:textId="1539DA52" w:rsidR="00E031F4" w:rsidRDefault="00E031F4" w:rsidP="00E031F4">
            <w:pPr>
              <w:rPr>
                <w:rFonts w:ascii="Verdana" w:hAnsi="Verdana"/>
              </w:rPr>
            </w:pPr>
          </w:p>
        </w:tc>
      </w:tr>
    </w:tbl>
    <w:p w14:paraId="1D317A5C" w14:textId="77777777" w:rsidR="00296E12" w:rsidRPr="006547A2" w:rsidRDefault="00296E12" w:rsidP="00E32DDA">
      <w:pPr>
        <w:rPr>
          <w:rFonts w:ascii="Verdana" w:eastAsia="Times New Roman" w:hAnsi="Verdana" w:cs="Arial"/>
          <w:b/>
        </w:rPr>
      </w:pPr>
      <w:bookmarkStart w:id="1" w:name="_Hlk65757423"/>
    </w:p>
    <w:tbl>
      <w:tblPr>
        <w:tblStyle w:val="LightList-Accent5"/>
        <w:tblW w:w="10885" w:type="dxa"/>
        <w:tblInd w:w="-95" w:type="dxa"/>
        <w:tblBorders>
          <w:top w:val="single" w:sz="4" w:space="0" w:color="17365D" w:themeColor="text2" w:themeShade="BF"/>
          <w:left w:val="single" w:sz="4" w:space="0" w:color="17365D" w:themeColor="text2" w:themeShade="BF"/>
          <w:bottom w:val="single" w:sz="4" w:space="0" w:color="17365D" w:themeColor="text2" w:themeShade="BF"/>
          <w:right w:val="single" w:sz="4" w:space="0" w:color="17365D" w:themeColor="text2" w:themeShade="BF"/>
          <w:insideH w:val="single" w:sz="4" w:space="0" w:color="17365D" w:themeColor="text2" w:themeShade="BF"/>
          <w:insideV w:val="single" w:sz="4" w:space="0" w:color="17365D" w:themeColor="text2" w:themeShade="BF"/>
        </w:tblBorders>
        <w:tblLayout w:type="fixed"/>
        <w:tblLook w:val="04A0" w:firstRow="1" w:lastRow="0" w:firstColumn="1" w:lastColumn="0" w:noHBand="0" w:noVBand="1"/>
      </w:tblPr>
      <w:tblGrid>
        <w:gridCol w:w="10885"/>
      </w:tblGrid>
      <w:tr w:rsidR="00255A16" w:rsidRPr="006547A2" w14:paraId="20EA93DD" w14:textId="77777777" w:rsidTr="00B65A4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85" w:type="dxa"/>
            <w:shd w:val="clear" w:color="auto" w:fill="00205B"/>
          </w:tcPr>
          <w:p w14:paraId="299A5639" w14:textId="3A6725C7" w:rsidR="00255A16" w:rsidRPr="006547A2" w:rsidRDefault="00255A16" w:rsidP="00B65A41">
            <w:pPr>
              <w:spacing w:after="240"/>
              <w:rPr>
                <w:rFonts w:ascii="Verdana" w:eastAsia="Times New Roman" w:hAnsi="Verdana" w:cs="Arial"/>
              </w:rPr>
            </w:pPr>
            <w:r w:rsidRPr="006547A2">
              <w:rPr>
                <w:rFonts w:ascii="Verdana" w:eastAsia="Times New Roman" w:hAnsi="Verdana" w:cs="Arial"/>
              </w:rPr>
              <w:t xml:space="preserve">New or Expanded Formulations </w:t>
            </w:r>
          </w:p>
        </w:tc>
      </w:tr>
    </w:tbl>
    <w:tbl>
      <w:tblPr>
        <w:tblStyle w:val="TableGrid"/>
        <w:tblpPr w:leftFromText="180" w:rightFromText="180" w:vertAnchor="text" w:tblpX="-95" w:tblpY="1"/>
        <w:tblOverlap w:val="never"/>
        <w:tblW w:w="10917" w:type="dxa"/>
        <w:tblLook w:val="04A0" w:firstRow="1" w:lastRow="0" w:firstColumn="1" w:lastColumn="0" w:noHBand="0" w:noVBand="1"/>
      </w:tblPr>
      <w:tblGrid>
        <w:gridCol w:w="2589"/>
        <w:gridCol w:w="4232"/>
        <w:gridCol w:w="4096"/>
      </w:tblGrid>
      <w:tr w:rsidR="00255A16" w:rsidRPr="006547A2" w14:paraId="0BA472AD" w14:textId="77777777" w:rsidTr="00413044">
        <w:trPr>
          <w:trHeight w:val="566"/>
        </w:trPr>
        <w:tc>
          <w:tcPr>
            <w:tcW w:w="2589" w:type="dxa"/>
          </w:tcPr>
          <w:p w14:paraId="62373FE1" w14:textId="77777777" w:rsidR="00255A16" w:rsidRPr="006547A2" w:rsidRDefault="00255A16" w:rsidP="00413044">
            <w:pPr>
              <w:spacing w:after="240"/>
              <w:rPr>
                <w:rFonts w:ascii="Verdana" w:eastAsia="Times New Roman" w:hAnsi="Verdana" w:cs="Arial"/>
              </w:rPr>
            </w:pPr>
            <w:r w:rsidRPr="006547A2">
              <w:rPr>
                <w:rFonts w:ascii="Verdana" w:hAnsi="Verdana"/>
                <w:b/>
                <w:bCs/>
              </w:rPr>
              <w:t>Drug</w:t>
            </w:r>
          </w:p>
        </w:tc>
        <w:tc>
          <w:tcPr>
            <w:tcW w:w="4232" w:type="dxa"/>
          </w:tcPr>
          <w:p w14:paraId="7C9A7639" w14:textId="77777777" w:rsidR="00255A16" w:rsidRPr="006547A2" w:rsidRDefault="00255A16" w:rsidP="00413044">
            <w:pPr>
              <w:spacing w:after="240"/>
              <w:rPr>
                <w:rFonts w:ascii="Verdana" w:eastAsia="Times New Roman" w:hAnsi="Verdana" w:cs="Arial"/>
                <w:b/>
                <w:bCs/>
              </w:rPr>
            </w:pPr>
            <w:r w:rsidRPr="006547A2">
              <w:rPr>
                <w:rFonts w:ascii="Verdana" w:eastAsia="Times New Roman" w:hAnsi="Verdana" w:cs="Arial"/>
                <w:b/>
                <w:bCs/>
              </w:rPr>
              <w:t>Rationale/Alternative</w:t>
            </w:r>
          </w:p>
        </w:tc>
        <w:tc>
          <w:tcPr>
            <w:tcW w:w="4096" w:type="dxa"/>
          </w:tcPr>
          <w:p w14:paraId="4CB66098" w14:textId="77777777" w:rsidR="00255A16" w:rsidRPr="006547A2" w:rsidRDefault="00255A16" w:rsidP="00413044">
            <w:pPr>
              <w:spacing w:after="240"/>
              <w:rPr>
                <w:rFonts w:ascii="Verdana" w:eastAsia="Times New Roman" w:hAnsi="Verdana" w:cs="Arial"/>
              </w:rPr>
            </w:pPr>
            <w:r w:rsidRPr="006547A2">
              <w:rPr>
                <w:rFonts w:ascii="Verdana" w:hAnsi="Verdana"/>
                <w:b/>
              </w:rPr>
              <w:t>Recommendation</w:t>
            </w:r>
          </w:p>
        </w:tc>
      </w:tr>
      <w:tr w:rsidR="00E031F4" w:rsidRPr="006547A2" w14:paraId="2DEE45DB" w14:textId="77777777" w:rsidTr="00413044">
        <w:tc>
          <w:tcPr>
            <w:tcW w:w="2589" w:type="dxa"/>
            <w:shd w:val="clear" w:color="auto" w:fill="auto"/>
          </w:tcPr>
          <w:p w14:paraId="70CDEACD" w14:textId="77777777" w:rsidR="00E031F4" w:rsidRPr="00AB1A50" w:rsidRDefault="00E031F4" w:rsidP="00413044">
            <w:pPr>
              <w:rPr>
                <w:rFonts w:ascii="Verdana" w:hAnsi="Verdana"/>
              </w:rPr>
            </w:pPr>
            <w:r w:rsidRPr="00AB1A50">
              <w:rPr>
                <w:rFonts w:ascii="Verdana" w:hAnsi="Verdana"/>
                <w:b/>
                <w:bCs/>
              </w:rPr>
              <w:t xml:space="preserve">Dexcom G7 </w:t>
            </w:r>
            <w:r w:rsidRPr="00AB1A50">
              <w:rPr>
                <w:rFonts w:ascii="Verdana" w:hAnsi="Verdana"/>
              </w:rPr>
              <w:t>15-day sensor for continuous glucose monitoring</w:t>
            </w:r>
          </w:p>
          <w:p w14:paraId="3ED006F4" w14:textId="7900FF97" w:rsidR="00E031F4" w:rsidRPr="00876AB4" w:rsidRDefault="00E031F4" w:rsidP="00413044">
            <w:pPr>
              <w:rPr>
                <w:rFonts w:ascii="Verdana" w:hAnsi="Verdana" w:cs="Arial"/>
              </w:rPr>
            </w:pPr>
          </w:p>
        </w:tc>
        <w:tc>
          <w:tcPr>
            <w:tcW w:w="4232" w:type="dxa"/>
            <w:shd w:val="clear" w:color="auto" w:fill="auto"/>
          </w:tcPr>
          <w:p w14:paraId="26B59C08" w14:textId="77777777" w:rsidR="00E031F4" w:rsidRPr="004D3445" w:rsidRDefault="00E031F4" w:rsidP="00413044">
            <w:pPr>
              <w:rPr>
                <w:rFonts w:ascii="Verdana" w:hAnsi="Verdana"/>
              </w:rPr>
            </w:pPr>
            <w:r w:rsidRPr="004D3445">
              <w:rPr>
                <w:rFonts w:ascii="Verdana" w:hAnsi="Verdana"/>
              </w:rPr>
              <w:t xml:space="preserve">The new 15-day Dexcom G7 sensor, which was approved by the FDA in April for adult patients with all diabetes types, recently launched. </w:t>
            </w:r>
          </w:p>
          <w:p w14:paraId="2F5851F7" w14:textId="07CCE289" w:rsidR="00E031F4" w:rsidRPr="006547A2" w:rsidRDefault="00E031F4" w:rsidP="00413044">
            <w:pPr>
              <w:rPr>
                <w:rFonts w:ascii="Verdana" w:hAnsi="Verdana"/>
              </w:rPr>
            </w:pPr>
          </w:p>
        </w:tc>
        <w:tc>
          <w:tcPr>
            <w:tcW w:w="4096" w:type="dxa"/>
            <w:shd w:val="clear" w:color="auto" w:fill="auto"/>
          </w:tcPr>
          <w:p w14:paraId="202FA591" w14:textId="77777777" w:rsidR="00E031F4" w:rsidRPr="004D3445" w:rsidRDefault="00E031F4" w:rsidP="00413044">
            <w:pPr>
              <w:rPr>
                <w:rFonts w:ascii="Verdana" w:hAnsi="Verdana"/>
              </w:rPr>
            </w:pPr>
            <w:r w:rsidRPr="004D3445">
              <w:rPr>
                <w:rFonts w:ascii="Verdana" w:hAnsi="Verdana"/>
              </w:rPr>
              <w:t>F: all lines of business</w:t>
            </w:r>
          </w:p>
          <w:p w14:paraId="6A4D2E18" w14:textId="520B11D9" w:rsidR="00E031F4" w:rsidRPr="006547A2" w:rsidRDefault="00E031F4" w:rsidP="00413044">
            <w:pPr>
              <w:rPr>
                <w:rFonts w:ascii="Verdana" w:hAnsi="Verdana"/>
              </w:rPr>
            </w:pPr>
          </w:p>
        </w:tc>
      </w:tr>
      <w:tr w:rsidR="00E031F4" w:rsidRPr="006547A2" w14:paraId="112DD9CA" w14:textId="77777777" w:rsidTr="00413044">
        <w:tc>
          <w:tcPr>
            <w:tcW w:w="2589" w:type="dxa"/>
            <w:shd w:val="clear" w:color="auto" w:fill="auto"/>
          </w:tcPr>
          <w:p w14:paraId="5EEF6A2A" w14:textId="77777777" w:rsidR="00E031F4" w:rsidRPr="004D3445" w:rsidRDefault="00E031F4" w:rsidP="00413044">
            <w:pPr>
              <w:rPr>
                <w:rFonts w:ascii="Verdana" w:hAnsi="Verdana"/>
              </w:rPr>
            </w:pPr>
            <w:proofErr w:type="spellStart"/>
            <w:r w:rsidRPr="004D3445">
              <w:rPr>
                <w:rFonts w:ascii="Verdana" w:hAnsi="Verdana"/>
                <w:b/>
                <w:bCs/>
              </w:rPr>
              <w:t>Brynovin</w:t>
            </w:r>
            <w:proofErr w:type="spellEnd"/>
            <w:r w:rsidRPr="004D3445">
              <w:rPr>
                <w:rFonts w:ascii="Verdana" w:hAnsi="Verdana"/>
              </w:rPr>
              <w:t xml:space="preserve"> (sitagliptin) 25 mg/mL oral solution for adults with type 2 diabetes</w:t>
            </w:r>
          </w:p>
          <w:p w14:paraId="5F98A3E2" w14:textId="0E10BE17" w:rsidR="00E031F4" w:rsidRPr="006547A2" w:rsidRDefault="00E031F4" w:rsidP="00413044">
            <w:pPr>
              <w:rPr>
                <w:rFonts w:ascii="Verdana" w:hAnsi="Verdana" w:cs="Arial"/>
              </w:rPr>
            </w:pPr>
          </w:p>
        </w:tc>
        <w:tc>
          <w:tcPr>
            <w:tcW w:w="4232" w:type="dxa"/>
            <w:shd w:val="clear" w:color="auto" w:fill="auto"/>
          </w:tcPr>
          <w:p w14:paraId="21C8B9D5" w14:textId="77777777" w:rsidR="00E031F4" w:rsidRPr="004D3445" w:rsidRDefault="00E031F4" w:rsidP="00413044">
            <w:pPr>
              <w:rPr>
                <w:rFonts w:ascii="Verdana" w:hAnsi="Verdana"/>
              </w:rPr>
            </w:pPr>
            <w:r w:rsidRPr="004D3445">
              <w:rPr>
                <w:rFonts w:ascii="Verdana" w:hAnsi="Verdana"/>
              </w:rPr>
              <w:t>Sitagliptin 25 mg/mL oral solution is now available and indicated for use in adults with type 2 diabetes. Recommended dosing is the same as the previously available tablet formulation at 100 mg once daily with reductions for renal impairment.</w:t>
            </w:r>
          </w:p>
          <w:p w14:paraId="7DD3FADA" w14:textId="1A21E268" w:rsidR="00E031F4" w:rsidRPr="006547A2" w:rsidRDefault="00E031F4" w:rsidP="00413044">
            <w:pPr>
              <w:rPr>
                <w:rFonts w:ascii="Verdana" w:hAnsi="Verdana"/>
              </w:rPr>
            </w:pPr>
          </w:p>
        </w:tc>
        <w:tc>
          <w:tcPr>
            <w:tcW w:w="4096" w:type="dxa"/>
            <w:shd w:val="clear" w:color="auto" w:fill="auto"/>
          </w:tcPr>
          <w:p w14:paraId="2C8DDB6D" w14:textId="77777777" w:rsidR="00E031F4" w:rsidRPr="00C61183" w:rsidRDefault="00E031F4" w:rsidP="00413044">
            <w:pPr>
              <w:rPr>
                <w:rFonts w:ascii="Verdana" w:hAnsi="Verdana"/>
              </w:rPr>
            </w:pPr>
            <w:r w:rsidRPr="00C61183">
              <w:rPr>
                <w:rFonts w:ascii="Verdana" w:hAnsi="Verdana"/>
              </w:rPr>
              <w:t>NF: all lines of business</w:t>
            </w:r>
          </w:p>
          <w:p w14:paraId="484B70A9" w14:textId="365A3A78" w:rsidR="00E031F4" w:rsidRPr="006547A2" w:rsidRDefault="00E031F4" w:rsidP="00413044">
            <w:pPr>
              <w:rPr>
                <w:rFonts w:ascii="Verdana" w:hAnsi="Verdana"/>
              </w:rPr>
            </w:pPr>
          </w:p>
        </w:tc>
      </w:tr>
      <w:tr w:rsidR="00E031F4" w:rsidRPr="006547A2" w14:paraId="2727C4DE" w14:textId="77777777" w:rsidTr="00413044">
        <w:tc>
          <w:tcPr>
            <w:tcW w:w="2589" w:type="dxa"/>
            <w:shd w:val="clear" w:color="auto" w:fill="auto"/>
          </w:tcPr>
          <w:p w14:paraId="4F625DB5" w14:textId="59279D2B" w:rsidR="00E031F4" w:rsidRPr="006547A2" w:rsidRDefault="00E031F4" w:rsidP="00413044">
            <w:pPr>
              <w:rPr>
                <w:rFonts w:ascii="Verdana" w:hAnsi="Verdana" w:cs="Arial"/>
              </w:rPr>
            </w:pPr>
            <w:proofErr w:type="spellStart"/>
            <w:r w:rsidRPr="004D3445">
              <w:rPr>
                <w:rFonts w:ascii="Verdana" w:hAnsi="Verdana"/>
                <w:b/>
                <w:bCs/>
                <w:color w:val="000000"/>
              </w:rPr>
              <w:t>Prezcobix</w:t>
            </w:r>
            <w:proofErr w:type="spellEnd"/>
            <w:r w:rsidRPr="004D3445">
              <w:rPr>
                <w:rFonts w:ascii="Verdana" w:hAnsi="Verdana"/>
                <w:color w:val="000000"/>
              </w:rPr>
              <w:t xml:space="preserve"> (darunavir-cobicistat) 675-150 mg tablets for HIV-1 in treatment-naïve and treatment-experienced adults and pediatric patients weighing ≥ 25 kg indication expansion &amp; new dosage form</w:t>
            </w:r>
          </w:p>
        </w:tc>
        <w:tc>
          <w:tcPr>
            <w:tcW w:w="4232" w:type="dxa"/>
            <w:shd w:val="clear" w:color="auto" w:fill="auto"/>
          </w:tcPr>
          <w:p w14:paraId="5FC559C7" w14:textId="77777777" w:rsidR="00E031F4" w:rsidRPr="004D3445" w:rsidRDefault="00E031F4" w:rsidP="00413044">
            <w:pPr>
              <w:rPr>
                <w:rFonts w:ascii="Verdana" w:hAnsi="Verdana"/>
              </w:rPr>
            </w:pPr>
            <w:r w:rsidRPr="004D3445">
              <w:rPr>
                <w:rFonts w:ascii="Verdana" w:hAnsi="Verdana"/>
              </w:rPr>
              <w:t xml:space="preserve">A new strength of </w:t>
            </w:r>
            <w:proofErr w:type="spellStart"/>
            <w:r w:rsidRPr="004D3445">
              <w:rPr>
                <w:rFonts w:ascii="Verdana" w:hAnsi="Verdana"/>
              </w:rPr>
              <w:t>Prezcobix</w:t>
            </w:r>
            <w:proofErr w:type="spellEnd"/>
            <w:r w:rsidRPr="004D3445">
              <w:rPr>
                <w:rFonts w:ascii="Verdana" w:hAnsi="Verdana"/>
              </w:rPr>
              <w:t xml:space="preserve"> was recently launched to accommodate pediatric patients weighing between 25 kg and &lt; 40 kg. </w:t>
            </w:r>
          </w:p>
          <w:p w14:paraId="0BB1CFDC" w14:textId="79778CF5" w:rsidR="00E031F4" w:rsidRPr="006547A2" w:rsidRDefault="00E031F4" w:rsidP="00413044">
            <w:pPr>
              <w:rPr>
                <w:rFonts w:ascii="Verdana" w:hAnsi="Verdana"/>
              </w:rPr>
            </w:pPr>
          </w:p>
        </w:tc>
        <w:tc>
          <w:tcPr>
            <w:tcW w:w="4096" w:type="dxa"/>
            <w:shd w:val="clear" w:color="auto" w:fill="auto"/>
          </w:tcPr>
          <w:p w14:paraId="31121B5C" w14:textId="77777777" w:rsidR="00E031F4" w:rsidRPr="00C61183" w:rsidRDefault="00E031F4" w:rsidP="00413044">
            <w:pPr>
              <w:rPr>
                <w:rFonts w:ascii="Verdana" w:hAnsi="Verdana"/>
              </w:rPr>
            </w:pPr>
            <w:r w:rsidRPr="00C61183">
              <w:rPr>
                <w:rFonts w:ascii="Verdana" w:hAnsi="Verdana"/>
              </w:rPr>
              <w:t>F: all lines of business</w:t>
            </w:r>
          </w:p>
          <w:p w14:paraId="3F7FDC00" w14:textId="3E81D5C0" w:rsidR="00E031F4" w:rsidRPr="006547A2" w:rsidRDefault="00E031F4" w:rsidP="00413044">
            <w:pPr>
              <w:rPr>
                <w:rFonts w:ascii="Verdana" w:hAnsi="Verdana"/>
              </w:rPr>
            </w:pPr>
          </w:p>
        </w:tc>
      </w:tr>
      <w:tr w:rsidR="00E031F4" w:rsidRPr="006547A2" w14:paraId="60F4F90A" w14:textId="77777777" w:rsidTr="00413044">
        <w:tc>
          <w:tcPr>
            <w:tcW w:w="2589" w:type="dxa"/>
            <w:shd w:val="clear" w:color="auto" w:fill="auto"/>
          </w:tcPr>
          <w:p w14:paraId="1EB059C3" w14:textId="77777777" w:rsidR="00E031F4" w:rsidRPr="004D3445" w:rsidRDefault="00E031F4" w:rsidP="00413044">
            <w:pPr>
              <w:rPr>
                <w:rFonts w:ascii="Verdana" w:hAnsi="Verdana"/>
                <w:color w:val="000000"/>
              </w:rPr>
            </w:pPr>
            <w:proofErr w:type="spellStart"/>
            <w:r w:rsidRPr="004D3445">
              <w:rPr>
                <w:rFonts w:ascii="Verdana" w:hAnsi="Verdana"/>
                <w:b/>
                <w:bCs/>
                <w:color w:val="000000"/>
              </w:rPr>
              <w:lastRenderedPageBreak/>
              <w:t>Brukinsa</w:t>
            </w:r>
            <w:proofErr w:type="spellEnd"/>
            <w:r w:rsidRPr="004D3445">
              <w:rPr>
                <w:rFonts w:ascii="Verdana" w:hAnsi="Verdana"/>
                <w:color w:val="000000"/>
              </w:rPr>
              <w:t xml:space="preserve"> (</w:t>
            </w:r>
            <w:proofErr w:type="spellStart"/>
            <w:r w:rsidRPr="004D3445">
              <w:rPr>
                <w:rFonts w:ascii="Verdana" w:hAnsi="Verdana"/>
                <w:color w:val="000000"/>
              </w:rPr>
              <w:t>zanubrutinib</w:t>
            </w:r>
            <w:proofErr w:type="spellEnd"/>
            <w:r w:rsidRPr="004D3445">
              <w:rPr>
                <w:rFonts w:ascii="Verdana" w:hAnsi="Verdana"/>
                <w:color w:val="000000"/>
              </w:rPr>
              <w:t>) 160 mg tablets for various oncology indications</w:t>
            </w:r>
          </w:p>
          <w:p w14:paraId="109B646E" w14:textId="633D3DF7" w:rsidR="00E031F4" w:rsidRPr="006547A2" w:rsidRDefault="00E031F4" w:rsidP="00413044">
            <w:pPr>
              <w:rPr>
                <w:rFonts w:ascii="Verdana" w:hAnsi="Verdana" w:cs="Arial"/>
              </w:rPr>
            </w:pPr>
          </w:p>
        </w:tc>
        <w:tc>
          <w:tcPr>
            <w:tcW w:w="4232" w:type="dxa"/>
            <w:shd w:val="clear" w:color="auto" w:fill="auto"/>
          </w:tcPr>
          <w:p w14:paraId="34689B44" w14:textId="6E70504C" w:rsidR="00E031F4" w:rsidRPr="006547A2" w:rsidRDefault="00E031F4" w:rsidP="00413044">
            <w:pPr>
              <w:rPr>
                <w:rFonts w:ascii="Verdana" w:hAnsi="Verdana"/>
              </w:rPr>
            </w:pPr>
            <w:r w:rsidRPr="004D3445">
              <w:rPr>
                <w:rFonts w:ascii="Verdana" w:hAnsi="Verdana"/>
              </w:rPr>
              <w:t xml:space="preserve">Previously available as an 80 mg capsule, </w:t>
            </w:r>
            <w:proofErr w:type="spellStart"/>
            <w:r w:rsidRPr="004D3445">
              <w:rPr>
                <w:rFonts w:ascii="Verdana" w:hAnsi="Verdana"/>
              </w:rPr>
              <w:t>zanubrutinib</w:t>
            </w:r>
            <w:proofErr w:type="spellEnd"/>
            <w:r w:rsidRPr="004D3445">
              <w:rPr>
                <w:rFonts w:ascii="Verdana" w:hAnsi="Verdana"/>
              </w:rPr>
              <w:t xml:space="preserve"> is now available in a 160 mg tablet. This new strength allows for dose consolidation, especially for standard dosing, which is 160 mg twice daily or 320 mg once daily. </w:t>
            </w:r>
          </w:p>
        </w:tc>
        <w:tc>
          <w:tcPr>
            <w:tcW w:w="4096" w:type="dxa"/>
            <w:shd w:val="clear" w:color="auto" w:fill="auto"/>
          </w:tcPr>
          <w:p w14:paraId="65C5783B" w14:textId="77777777" w:rsidR="00E031F4" w:rsidRPr="004D3445" w:rsidRDefault="00E031F4" w:rsidP="00413044">
            <w:pPr>
              <w:rPr>
                <w:rFonts w:ascii="Verdana" w:hAnsi="Verdana"/>
              </w:rPr>
            </w:pPr>
            <w:r w:rsidRPr="004D3445">
              <w:rPr>
                <w:rFonts w:ascii="Verdana" w:hAnsi="Verdana"/>
              </w:rPr>
              <w:t>F: all lines of business</w:t>
            </w:r>
          </w:p>
          <w:p w14:paraId="2C19483C" w14:textId="15F1FD85" w:rsidR="00E031F4" w:rsidRPr="006547A2" w:rsidRDefault="00E031F4" w:rsidP="00413044">
            <w:pPr>
              <w:rPr>
                <w:rFonts w:ascii="Verdana" w:hAnsi="Verdana"/>
              </w:rPr>
            </w:pPr>
          </w:p>
        </w:tc>
      </w:tr>
      <w:tr w:rsidR="00E031F4" w:rsidRPr="006547A2" w14:paraId="0809018C" w14:textId="77777777" w:rsidTr="00413044">
        <w:tc>
          <w:tcPr>
            <w:tcW w:w="2589" w:type="dxa"/>
            <w:shd w:val="clear" w:color="auto" w:fill="auto"/>
          </w:tcPr>
          <w:p w14:paraId="21C98F4D" w14:textId="63A25CC1" w:rsidR="00E031F4" w:rsidRPr="006547A2" w:rsidRDefault="00E031F4" w:rsidP="00413044">
            <w:pPr>
              <w:rPr>
                <w:rFonts w:ascii="Verdana" w:hAnsi="Verdana" w:cs="Arial"/>
              </w:rPr>
            </w:pPr>
            <w:proofErr w:type="spellStart"/>
            <w:r w:rsidRPr="004D3445">
              <w:rPr>
                <w:rFonts w:ascii="Verdana" w:hAnsi="Verdana"/>
                <w:b/>
                <w:bCs/>
                <w:color w:val="000000"/>
              </w:rPr>
              <w:t>Remodulin</w:t>
            </w:r>
            <w:proofErr w:type="spellEnd"/>
            <w:r w:rsidRPr="004D3445">
              <w:rPr>
                <w:rFonts w:ascii="Verdana" w:hAnsi="Verdana"/>
                <w:color w:val="000000"/>
              </w:rPr>
              <w:t xml:space="preserve"> (</w:t>
            </w:r>
            <w:proofErr w:type="spellStart"/>
            <w:r w:rsidRPr="004D3445">
              <w:rPr>
                <w:rFonts w:ascii="Verdana" w:hAnsi="Verdana"/>
                <w:color w:val="000000"/>
              </w:rPr>
              <w:t>treprostinil</w:t>
            </w:r>
            <w:proofErr w:type="spellEnd"/>
            <w:r w:rsidRPr="004D3445">
              <w:rPr>
                <w:rFonts w:ascii="Verdana" w:hAnsi="Verdana"/>
                <w:color w:val="000000"/>
              </w:rPr>
              <w:t>) 8 mg/20 mL vials for pulmonary arterial hypertension</w:t>
            </w:r>
          </w:p>
        </w:tc>
        <w:tc>
          <w:tcPr>
            <w:tcW w:w="4232" w:type="dxa"/>
            <w:shd w:val="clear" w:color="auto" w:fill="auto"/>
          </w:tcPr>
          <w:p w14:paraId="66CD327A" w14:textId="77777777" w:rsidR="00E031F4" w:rsidRPr="004D3445" w:rsidRDefault="00E031F4" w:rsidP="00413044">
            <w:pPr>
              <w:rPr>
                <w:rFonts w:ascii="Verdana" w:hAnsi="Verdana"/>
              </w:rPr>
            </w:pPr>
            <w:r w:rsidRPr="004D3445">
              <w:rPr>
                <w:rFonts w:ascii="Verdana" w:hAnsi="Verdana"/>
              </w:rPr>
              <w:t xml:space="preserve">A new strength of branded </w:t>
            </w:r>
            <w:proofErr w:type="spellStart"/>
            <w:r w:rsidRPr="004D3445">
              <w:rPr>
                <w:rFonts w:ascii="Verdana" w:hAnsi="Verdana"/>
              </w:rPr>
              <w:t>Remodulin</w:t>
            </w:r>
            <w:proofErr w:type="spellEnd"/>
            <w:r w:rsidRPr="004D3445">
              <w:rPr>
                <w:rFonts w:ascii="Verdana" w:hAnsi="Verdana"/>
              </w:rPr>
              <w:t xml:space="preserve"> (</w:t>
            </w:r>
            <w:proofErr w:type="spellStart"/>
            <w:r w:rsidRPr="004D3445">
              <w:rPr>
                <w:rFonts w:ascii="Verdana" w:hAnsi="Verdana"/>
              </w:rPr>
              <w:t>treprostinil</w:t>
            </w:r>
            <w:proofErr w:type="spellEnd"/>
            <w:r w:rsidRPr="004D3445">
              <w:rPr>
                <w:rFonts w:ascii="Verdana" w:hAnsi="Verdana"/>
              </w:rPr>
              <w:t xml:space="preserve">) vials for injection has launched. </w:t>
            </w:r>
          </w:p>
          <w:p w14:paraId="4C8B5324" w14:textId="3F7F115C" w:rsidR="00E031F4" w:rsidRPr="006547A2" w:rsidRDefault="00E031F4" w:rsidP="00413044">
            <w:pPr>
              <w:rPr>
                <w:rFonts w:ascii="Verdana" w:hAnsi="Verdana"/>
              </w:rPr>
            </w:pPr>
          </w:p>
        </w:tc>
        <w:tc>
          <w:tcPr>
            <w:tcW w:w="4096" w:type="dxa"/>
            <w:shd w:val="clear" w:color="auto" w:fill="auto"/>
          </w:tcPr>
          <w:p w14:paraId="69164E68" w14:textId="77777777" w:rsidR="00E031F4" w:rsidRPr="00C61183" w:rsidRDefault="00E031F4" w:rsidP="00413044">
            <w:pPr>
              <w:rPr>
                <w:rFonts w:ascii="Verdana" w:hAnsi="Verdana"/>
              </w:rPr>
            </w:pPr>
            <w:r w:rsidRPr="00C61183">
              <w:rPr>
                <w:rFonts w:ascii="Verdana" w:hAnsi="Verdana"/>
              </w:rPr>
              <w:t>NF: all lines of business</w:t>
            </w:r>
          </w:p>
          <w:p w14:paraId="18016193" w14:textId="7F9797D3" w:rsidR="00E031F4" w:rsidRPr="006547A2" w:rsidRDefault="00E031F4" w:rsidP="00413044">
            <w:pPr>
              <w:rPr>
                <w:rFonts w:ascii="Verdana" w:hAnsi="Verdana"/>
              </w:rPr>
            </w:pPr>
          </w:p>
        </w:tc>
      </w:tr>
      <w:tr w:rsidR="00E031F4" w:rsidRPr="006547A2" w14:paraId="13911519" w14:textId="77777777" w:rsidTr="00413044">
        <w:tc>
          <w:tcPr>
            <w:tcW w:w="2589" w:type="dxa"/>
            <w:shd w:val="clear" w:color="auto" w:fill="auto"/>
          </w:tcPr>
          <w:p w14:paraId="270EBAFE" w14:textId="17CACEB0" w:rsidR="00E031F4" w:rsidRPr="006547A2" w:rsidRDefault="00E031F4" w:rsidP="00413044">
            <w:pPr>
              <w:rPr>
                <w:rFonts w:ascii="Verdana" w:hAnsi="Verdana" w:cs="Arial"/>
              </w:rPr>
            </w:pPr>
            <w:proofErr w:type="spellStart"/>
            <w:r w:rsidRPr="004D3445">
              <w:rPr>
                <w:rFonts w:ascii="Verdana" w:hAnsi="Verdana"/>
                <w:b/>
                <w:bCs/>
                <w:color w:val="000000"/>
              </w:rPr>
              <w:t>Brekiya</w:t>
            </w:r>
            <w:proofErr w:type="spellEnd"/>
            <w:r w:rsidRPr="004D3445">
              <w:rPr>
                <w:rFonts w:ascii="Verdana" w:hAnsi="Verdana"/>
                <w:color w:val="000000"/>
              </w:rPr>
              <w:t xml:space="preserve"> (dihydroergotamine) 1 mg/mL autoinjector for migraine &amp; cluster headaches</w:t>
            </w:r>
          </w:p>
        </w:tc>
        <w:tc>
          <w:tcPr>
            <w:tcW w:w="4232" w:type="dxa"/>
            <w:shd w:val="clear" w:color="auto" w:fill="auto"/>
          </w:tcPr>
          <w:p w14:paraId="5A6806C9" w14:textId="77777777" w:rsidR="00E031F4" w:rsidRPr="004D3445" w:rsidRDefault="00E031F4" w:rsidP="00413044">
            <w:pPr>
              <w:rPr>
                <w:rFonts w:ascii="Verdana" w:hAnsi="Verdana"/>
              </w:rPr>
            </w:pPr>
            <w:r w:rsidRPr="004D3445">
              <w:rPr>
                <w:rFonts w:ascii="Verdana" w:hAnsi="Verdana"/>
              </w:rPr>
              <w:t>A new dihydroergotamine formulation launched, now available as a subcutaneous solution autoinjector (</w:t>
            </w:r>
            <w:proofErr w:type="spellStart"/>
            <w:r w:rsidRPr="004D3445">
              <w:rPr>
                <w:rFonts w:ascii="Verdana" w:hAnsi="Verdana"/>
              </w:rPr>
              <w:t>Brekiya</w:t>
            </w:r>
            <w:proofErr w:type="spellEnd"/>
            <w:r w:rsidRPr="004D3445">
              <w:rPr>
                <w:rFonts w:ascii="Verdana" w:hAnsi="Verdana"/>
              </w:rPr>
              <w:t>).</w:t>
            </w:r>
          </w:p>
          <w:p w14:paraId="7B28633C" w14:textId="018D1C15" w:rsidR="00E031F4" w:rsidRPr="006547A2" w:rsidRDefault="00E031F4" w:rsidP="00413044">
            <w:pPr>
              <w:rPr>
                <w:rFonts w:ascii="Verdana" w:hAnsi="Verdana"/>
              </w:rPr>
            </w:pPr>
          </w:p>
        </w:tc>
        <w:tc>
          <w:tcPr>
            <w:tcW w:w="4096" w:type="dxa"/>
            <w:shd w:val="clear" w:color="auto" w:fill="auto"/>
          </w:tcPr>
          <w:p w14:paraId="63D9267B" w14:textId="77777777" w:rsidR="00E031F4" w:rsidRPr="00C61183" w:rsidRDefault="00E031F4" w:rsidP="00413044">
            <w:pPr>
              <w:rPr>
                <w:rFonts w:ascii="Verdana" w:hAnsi="Verdana"/>
              </w:rPr>
            </w:pPr>
            <w:r w:rsidRPr="00C61183">
              <w:rPr>
                <w:rFonts w:ascii="Verdana" w:hAnsi="Verdana"/>
              </w:rPr>
              <w:t>NF: all lines of business</w:t>
            </w:r>
          </w:p>
          <w:p w14:paraId="5773E124" w14:textId="75A888EA" w:rsidR="00E031F4" w:rsidRPr="006547A2" w:rsidRDefault="00E031F4" w:rsidP="00413044">
            <w:pPr>
              <w:rPr>
                <w:rFonts w:ascii="Verdana" w:hAnsi="Verdana"/>
              </w:rPr>
            </w:pPr>
          </w:p>
        </w:tc>
      </w:tr>
      <w:tr w:rsidR="00E031F4" w:rsidRPr="006547A2" w14:paraId="3DEBBCBD" w14:textId="77777777" w:rsidTr="00413044">
        <w:tc>
          <w:tcPr>
            <w:tcW w:w="2589" w:type="dxa"/>
            <w:shd w:val="clear" w:color="auto" w:fill="auto"/>
          </w:tcPr>
          <w:p w14:paraId="1CA6383E" w14:textId="77777777" w:rsidR="00E031F4" w:rsidRPr="004D3445" w:rsidRDefault="00E031F4" w:rsidP="00413044">
            <w:pPr>
              <w:rPr>
                <w:rFonts w:ascii="Verdana" w:hAnsi="Verdana"/>
                <w:color w:val="000000"/>
              </w:rPr>
            </w:pPr>
            <w:proofErr w:type="spellStart"/>
            <w:r w:rsidRPr="004D3445">
              <w:rPr>
                <w:rFonts w:ascii="Verdana" w:hAnsi="Verdana"/>
                <w:b/>
                <w:bCs/>
                <w:color w:val="000000"/>
              </w:rPr>
              <w:t>Zurnai</w:t>
            </w:r>
            <w:proofErr w:type="spellEnd"/>
            <w:r w:rsidRPr="004D3445">
              <w:rPr>
                <w:rFonts w:ascii="Verdana" w:hAnsi="Verdana"/>
                <w:color w:val="000000"/>
              </w:rPr>
              <w:t xml:space="preserve"> (</w:t>
            </w:r>
            <w:proofErr w:type="spellStart"/>
            <w:r w:rsidRPr="004D3445">
              <w:rPr>
                <w:rFonts w:ascii="Verdana" w:hAnsi="Verdana"/>
                <w:color w:val="000000"/>
              </w:rPr>
              <w:t>nalmefene</w:t>
            </w:r>
            <w:proofErr w:type="spellEnd"/>
            <w:r w:rsidRPr="004D3445">
              <w:rPr>
                <w:rFonts w:ascii="Verdana" w:hAnsi="Verdana"/>
                <w:color w:val="000000"/>
              </w:rPr>
              <w:t>) 1.5 mg/0.5 mL autoinjector for opioid overdose</w:t>
            </w:r>
          </w:p>
          <w:p w14:paraId="1D08328A" w14:textId="6E0D89A6" w:rsidR="00E031F4" w:rsidRPr="006547A2" w:rsidRDefault="00E031F4" w:rsidP="00413044">
            <w:pPr>
              <w:rPr>
                <w:rFonts w:ascii="Verdana" w:hAnsi="Verdana" w:cs="Arial"/>
              </w:rPr>
            </w:pPr>
          </w:p>
        </w:tc>
        <w:tc>
          <w:tcPr>
            <w:tcW w:w="4232" w:type="dxa"/>
            <w:shd w:val="clear" w:color="auto" w:fill="auto"/>
          </w:tcPr>
          <w:p w14:paraId="2FC86A28" w14:textId="77777777" w:rsidR="00E031F4" w:rsidRPr="004D3445" w:rsidRDefault="00E031F4" w:rsidP="00413044">
            <w:pPr>
              <w:rPr>
                <w:rFonts w:ascii="Verdana" w:hAnsi="Verdana"/>
              </w:rPr>
            </w:pPr>
            <w:r w:rsidRPr="004D3445">
              <w:rPr>
                <w:rFonts w:ascii="Verdana" w:hAnsi="Verdana"/>
              </w:rPr>
              <w:t xml:space="preserve">A new </w:t>
            </w:r>
            <w:proofErr w:type="spellStart"/>
            <w:r w:rsidRPr="004D3445">
              <w:rPr>
                <w:rFonts w:ascii="Verdana" w:hAnsi="Verdana"/>
              </w:rPr>
              <w:t>nalmefene</w:t>
            </w:r>
            <w:proofErr w:type="spellEnd"/>
            <w:r w:rsidRPr="004D3445">
              <w:rPr>
                <w:rFonts w:ascii="Verdana" w:hAnsi="Verdana"/>
              </w:rPr>
              <w:t xml:space="preserve"> formulation launched as an autoinjector (</w:t>
            </w:r>
            <w:proofErr w:type="spellStart"/>
            <w:r w:rsidRPr="004D3445">
              <w:rPr>
                <w:rFonts w:ascii="Verdana" w:hAnsi="Verdana"/>
              </w:rPr>
              <w:t>Zurnai</w:t>
            </w:r>
            <w:proofErr w:type="spellEnd"/>
            <w:r w:rsidRPr="004D3445">
              <w:rPr>
                <w:rFonts w:ascii="Verdana" w:hAnsi="Verdana"/>
              </w:rPr>
              <w:t>), previously available as a nasal spray (</w:t>
            </w:r>
            <w:proofErr w:type="spellStart"/>
            <w:r w:rsidRPr="004D3445">
              <w:rPr>
                <w:rFonts w:ascii="Verdana" w:hAnsi="Verdana"/>
              </w:rPr>
              <w:t>Opvee</w:t>
            </w:r>
            <w:proofErr w:type="spellEnd"/>
            <w:r w:rsidRPr="004D3445">
              <w:rPr>
                <w:rFonts w:ascii="Verdana" w:hAnsi="Verdana"/>
              </w:rPr>
              <w:t>).</w:t>
            </w:r>
          </w:p>
          <w:p w14:paraId="5E879233" w14:textId="14E02EDA" w:rsidR="00E031F4" w:rsidRPr="006547A2" w:rsidRDefault="00E031F4" w:rsidP="00413044">
            <w:pPr>
              <w:rPr>
                <w:rFonts w:ascii="Verdana" w:hAnsi="Verdana"/>
              </w:rPr>
            </w:pPr>
          </w:p>
        </w:tc>
        <w:tc>
          <w:tcPr>
            <w:tcW w:w="4096" w:type="dxa"/>
            <w:shd w:val="clear" w:color="auto" w:fill="auto"/>
          </w:tcPr>
          <w:p w14:paraId="369D4CE2" w14:textId="77777777" w:rsidR="00E031F4" w:rsidRPr="004D3445" w:rsidRDefault="00E031F4" w:rsidP="00413044">
            <w:pPr>
              <w:rPr>
                <w:rFonts w:ascii="Verdana" w:hAnsi="Verdana"/>
              </w:rPr>
            </w:pPr>
            <w:proofErr w:type="spellStart"/>
            <w:r w:rsidRPr="004D3445">
              <w:rPr>
                <w:rFonts w:ascii="Verdana" w:hAnsi="Verdana"/>
              </w:rPr>
              <w:t>MedD</w:t>
            </w:r>
            <w:proofErr w:type="spellEnd"/>
            <w:r w:rsidRPr="004D3445">
              <w:rPr>
                <w:rFonts w:ascii="Verdana" w:hAnsi="Verdana"/>
              </w:rPr>
              <w:t>, PPO - Pending</w:t>
            </w:r>
          </w:p>
          <w:p w14:paraId="4B9B5776" w14:textId="77777777" w:rsidR="00E031F4" w:rsidRPr="004D3445" w:rsidRDefault="00E031F4" w:rsidP="00413044">
            <w:pPr>
              <w:rPr>
                <w:rFonts w:ascii="Verdana" w:hAnsi="Verdana"/>
              </w:rPr>
            </w:pPr>
            <w:r w:rsidRPr="004D3445">
              <w:rPr>
                <w:rFonts w:ascii="Verdana" w:hAnsi="Verdana"/>
              </w:rPr>
              <w:t>F: IFP, MA</w:t>
            </w:r>
          </w:p>
          <w:p w14:paraId="1200A5F7" w14:textId="30A8B7FC" w:rsidR="00E031F4" w:rsidRPr="006547A2" w:rsidRDefault="00E031F4" w:rsidP="00413044">
            <w:pPr>
              <w:rPr>
                <w:rFonts w:ascii="Verdana" w:hAnsi="Verdana"/>
              </w:rPr>
            </w:pPr>
          </w:p>
        </w:tc>
      </w:tr>
      <w:tr w:rsidR="00E031F4" w:rsidRPr="006547A2" w14:paraId="1C0D0A18" w14:textId="77777777" w:rsidTr="00413044">
        <w:tc>
          <w:tcPr>
            <w:tcW w:w="2589" w:type="dxa"/>
            <w:shd w:val="clear" w:color="auto" w:fill="auto"/>
          </w:tcPr>
          <w:p w14:paraId="21773026" w14:textId="77777777" w:rsidR="00E031F4" w:rsidRPr="004D3445" w:rsidRDefault="00E031F4" w:rsidP="00413044">
            <w:pPr>
              <w:rPr>
                <w:rFonts w:ascii="Verdana" w:hAnsi="Verdana"/>
                <w:color w:val="000000"/>
              </w:rPr>
            </w:pPr>
            <w:r w:rsidRPr="004D3445">
              <w:rPr>
                <w:rFonts w:ascii="Verdana" w:hAnsi="Verdana"/>
                <w:b/>
                <w:bCs/>
                <w:color w:val="000000"/>
              </w:rPr>
              <w:t xml:space="preserve">Eliquis </w:t>
            </w:r>
            <w:r w:rsidRPr="004D3445">
              <w:rPr>
                <w:rFonts w:ascii="Verdana" w:hAnsi="Verdana"/>
                <w:color w:val="000000"/>
              </w:rPr>
              <w:t>(apixaban) 0.15 mg sprinkle capsules and 0.5, 1.5 &amp; 2 mg tablet packs for oral suspension for anticoagulation</w:t>
            </w:r>
          </w:p>
          <w:p w14:paraId="2FAC7839" w14:textId="3189E4C6" w:rsidR="00E031F4" w:rsidRPr="006547A2" w:rsidRDefault="00E031F4" w:rsidP="00413044">
            <w:pPr>
              <w:rPr>
                <w:rFonts w:ascii="Verdana" w:hAnsi="Verdana" w:cs="Arial"/>
              </w:rPr>
            </w:pPr>
          </w:p>
        </w:tc>
        <w:tc>
          <w:tcPr>
            <w:tcW w:w="4232" w:type="dxa"/>
            <w:shd w:val="clear" w:color="auto" w:fill="auto"/>
          </w:tcPr>
          <w:p w14:paraId="747ED2F4" w14:textId="77777777" w:rsidR="00E031F4" w:rsidRPr="004D3445" w:rsidRDefault="00E031F4" w:rsidP="00413044">
            <w:pPr>
              <w:rPr>
                <w:rFonts w:ascii="Verdana" w:hAnsi="Verdana"/>
              </w:rPr>
            </w:pPr>
            <w:r w:rsidRPr="004D3445">
              <w:rPr>
                <w:rFonts w:ascii="Verdana" w:hAnsi="Verdana"/>
              </w:rPr>
              <w:t>New dosage forms, including a sprinkle capsule and several strengths of tablets for oral suspension, have launched this month to support the new pediatric VTE indication.</w:t>
            </w:r>
          </w:p>
          <w:p w14:paraId="068CF62E" w14:textId="18668F08" w:rsidR="00E031F4" w:rsidRPr="006547A2" w:rsidRDefault="00E031F4" w:rsidP="00413044">
            <w:pPr>
              <w:rPr>
                <w:rFonts w:ascii="Verdana" w:hAnsi="Verdana"/>
              </w:rPr>
            </w:pPr>
          </w:p>
        </w:tc>
        <w:tc>
          <w:tcPr>
            <w:tcW w:w="4096" w:type="dxa"/>
            <w:shd w:val="clear" w:color="auto" w:fill="auto"/>
          </w:tcPr>
          <w:p w14:paraId="406FE0D6" w14:textId="77777777" w:rsidR="00E031F4" w:rsidRPr="004D3445" w:rsidRDefault="00E031F4" w:rsidP="00413044">
            <w:pPr>
              <w:tabs>
                <w:tab w:val="left" w:pos="930"/>
              </w:tabs>
              <w:rPr>
                <w:rFonts w:ascii="Verdana" w:hAnsi="Verdana"/>
              </w:rPr>
            </w:pPr>
            <w:proofErr w:type="spellStart"/>
            <w:r w:rsidRPr="004D3445">
              <w:rPr>
                <w:rFonts w:ascii="Verdana" w:hAnsi="Verdana"/>
              </w:rPr>
              <w:t>MedD</w:t>
            </w:r>
            <w:proofErr w:type="spellEnd"/>
            <w:r w:rsidRPr="004D3445">
              <w:rPr>
                <w:rFonts w:ascii="Verdana" w:hAnsi="Verdana"/>
              </w:rPr>
              <w:t>, PPO – Pending</w:t>
            </w:r>
          </w:p>
          <w:p w14:paraId="1F1157DF" w14:textId="77777777" w:rsidR="00E031F4" w:rsidRPr="004D3445" w:rsidRDefault="00E031F4" w:rsidP="00413044">
            <w:pPr>
              <w:tabs>
                <w:tab w:val="left" w:pos="930"/>
              </w:tabs>
              <w:rPr>
                <w:rFonts w:ascii="Verdana" w:hAnsi="Verdana"/>
              </w:rPr>
            </w:pPr>
            <w:r w:rsidRPr="004D3445">
              <w:rPr>
                <w:rFonts w:ascii="Verdana" w:hAnsi="Verdana"/>
              </w:rPr>
              <w:t>F: IFP</w:t>
            </w:r>
          </w:p>
          <w:p w14:paraId="7764CF97" w14:textId="77777777" w:rsidR="00E031F4" w:rsidRPr="004D3445" w:rsidRDefault="00E031F4" w:rsidP="00413044">
            <w:pPr>
              <w:tabs>
                <w:tab w:val="left" w:pos="930"/>
              </w:tabs>
              <w:rPr>
                <w:rFonts w:ascii="Verdana" w:hAnsi="Verdana"/>
              </w:rPr>
            </w:pPr>
            <w:r w:rsidRPr="004D3445">
              <w:rPr>
                <w:rFonts w:ascii="Verdana" w:hAnsi="Verdana"/>
              </w:rPr>
              <w:t>PDL: MA</w:t>
            </w:r>
          </w:p>
          <w:p w14:paraId="68CD0386" w14:textId="5D995E3C" w:rsidR="00E031F4" w:rsidRPr="006547A2" w:rsidRDefault="00E031F4" w:rsidP="00413044">
            <w:pPr>
              <w:rPr>
                <w:rFonts w:ascii="Verdana" w:hAnsi="Verdana"/>
              </w:rPr>
            </w:pPr>
          </w:p>
        </w:tc>
      </w:tr>
      <w:tr w:rsidR="00E031F4" w:rsidRPr="006547A2" w14:paraId="213E30D5" w14:textId="77777777" w:rsidTr="00413044">
        <w:tc>
          <w:tcPr>
            <w:tcW w:w="2589" w:type="dxa"/>
            <w:shd w:val="clear" w:color="auto" w:fill="auto"/>
          </w:tcPr>
          <w:p w14:paraId="717CBBEE" w14:textId="77777777" w:rsidR="00E031F4" w:rsidRPr="004D3445" w:rsidRDefault="00E031F4" w:rsidP="00413044">
            <w:pPr>
              <w:rPr>
                <w:rFonts w:ascii="Verdana" w:hAnsi="Verdana"/>
                <w:color w:val="000000"/>
              </w:rPr>
            </w:pPr>
            <w:proofErr w:type="spellStart"/>
            <w:r w:rsidRPr="004D3445">
              <w:rPr>
                <w:rFonts w:ascii="Verdana" w:hAnsi="Verdana"/>
                <w:b/>
                <w:bCs/>
                <w:color w:val="000000"/>
              </w:rPr>
              <w:t>Skytrofa</w:t>
            </w:r>
            <w:proofErr w:type="spellEnd"/>
            <w:r w:rsidRPr="004D3445">
              <w:rPr>
                <w:rFonts w:ascii="Verdana" w:hAnsi="Verdana"/>
                <w:color w:val="000000"/>
              </w:rPr>
              <w:t xml:space="preserve"> (</w:t>
            </w:r>
            <w:proofErr w:type="spellStart"/>
            <w:r w:rsidRPr="004D3445">
              <w:rPr>
                <w:rFonts w:ascii="Verdana" w:hAnsi="Verdana"/>
                <w:color w:val="000000"/>
              </w:rPr>
              <w:t>lonapegsomatropin</w:t>
            </w:r>
            <w:proofErr w:type="spellEnd"/>
            <w:r w:rsidRPr="004D3445">
              <w:rPr>
                <w:rFonts w:ascii="Verdana" w:hAnsi="Verdana"/>
                <w:color w:val="000000"/>
              </w:rPr>
              <w:t xml:space="preserve">) 0.7, 1.4, 1.8, 2.1, &amp; 2.5 mg SQ </w:t>
            </w:r>
            <w:proofErr w:type="spellStart"/>
            <w:r w:rsidRPr="004D3445">
              <w:rPr>
                <w:rFonts w:ascii="Verdana" w:hAnsi="Verdana"/>
                <w:color w:val="000000"/>
              </w:rPr>
              <w:t>inj</w:t>
            </w:r>
            <w:proofErr w:type="spellEnd"/>
            <w:r w:rsidRPr="004D3445">
              <w:rPr>
                <w:rFonts w:ascii="Verdana" w:hAnsi="Verdana"/>
                <w:color w:val="000000"/>
              </w:rPr>
              <w:t xml:space="preserve"> for growth hormone deficiency</w:t>
            </w:r>
          </w:p>
          <w:p w14:paraId="43A1A4DD" w14:textId="121A429E" w:rsidR="00E031F4" w:rsidRPr="006547A2" w:rsidRDefault="00E031F4" w:rsidP="00413044">
            <w:pPr>
              <w:rPr>
                <w:rFonts w:ascii="Verdana" w:hAnsi="Verdana" w:cs="Arial"/>
              </w:rPr>
            </w:pPr>
          </w:p>
        </w:tc>
        <w:tc>
          <w:tcPr>
            <w:tcW w:w="4232" w:type="dxa"/>
            <w:shd w:val="clear" w:color="auto" w:fill="auto"/>
          </w:tcPr>
          <w:p w14:paraId="59427ED6" w14:textId="77777777" w:rsidR="00E031F4" w:rsidRPr="004D3445" w:rsidRDefault="00E031F4" w:rsidP="00413044">
            <w:pPr>
              <w:rPr>
                <w:rFonts w:ascii="Verdana" w:hAnsi="Verdana"/>
              </w:rPr>
            </w:pPr>
            <w:r w:rsidRPr="004D3445">
              <w:rPr>
                <w:rFonts w:ascii="Verdana" w:hAnsi="Verdana"/>
              </w:rPr>
              <w:t xml:space="preserve">Associated with a new expanded indication, new strengths of </w:t>
            </w:r>
            <w:proofErr w:type="spellStart"/>
            <w:r w:rsidRPr="004D3445">
              <w:rPr>
                <w:rFonts w:ascii="Verdana" w:hAnsi="Verdana"/>
              </w:rPr>
              <w:t>lonapegsomatropin</w:t>
            </w:r>
            <w:proofErr w:type="spellEnd"/>
            <w:r w:rsidRPr="004D3445">
              <w:rPr>
                <w:rFonts w:ascii="Verdana" w:hAnsi="Verdana"/>
              </w:rPr>
              <w:t xml:space="preserve"> launched this month. </w:t>
            </w:r>
          </w:p>
          <w:p w14:paraId="2B3E8E4C" w14:textId="46EF0840" w:rsidR="00E031F4" w:rsidRPr="006547A2" w:rsidRDefault="00E031F4" w:rsidP="00413044">
            <w:pPr>
              <w:rPr>
                <w:rFonts w:ascii="Verdana" w:hAnsi="Verdana"/>
              </w:rPr>
            </w:pPr>
          </w:p>
        </w:tc>
        <w:tc>
          <w:tcPr>
            <w:tcW w:w="4096" w:type="dxa"/>
            <w:shd w:val="clear" w:color="auto" w:fill="auto"/>
          </w:tcPr>
          <w:p w14:paraId="6708CECD" w14:textId="77777777" w:rsidR="00E031F4" w:rsidRPr="004D3445" w:rsidRDefault="00E031F4" w:rsidP="00413044">
            <w:pPr>
              <w:rPr>
                <w:rFonts w:ascii="Verdana" w:hAnsi="Verdana"/>
              </w:rPr>
            </w:pPr>
            <w:proofErr w:type="spellStart"/>
            <w:r w:rsidRPr="004D3445">
              <w:rPr>
                <w:rFonts w:ascii="Verdana" w:hAnsi="Verdana"/>
              </w:rPr>
              <w:t>MedD</w:t>
            </w:r>
            <w:proofErr w:type="spellEnd"/>
            <w:r w:rsidRPr="004D3445">
              <w:rPr>
                <w:rFonts w:ascii="Verdana" w:hAnsi="Verdana"/>
              </w:rPr>
              <w:t>, PPO - Pending</w:t>
            </w:r>
          </w:p>
          <w:p w14:paraId="57F2805D" w14:textId="77777777" w:rsidR="00E031F4" w:rsidRPr="004D3445" w:rsidRDefault="00E031F4" w:rsidP="00413044">
            <w:pPr>
              <w:rPr>
                <w:rFonts w:ascii="Verdana" w:hAnsi="Verdana"/>
              </w:rPr>
            </w:pPr>
            <w:r w:rsidRPr="004D3445">
              <w:rPr>
                <w:rFonts w:ascii="Verdana" w:hAnsi="Verdana"/>
              </w:rPr>
              <w:t>NF: IFP</w:t>
            </w:r>
          </w:p>
          <w:p w14:paraId="0D334D39" w14:textId="77777777" w:rsidR="00E031F4" w:rsidRPr="004D3445" w:rsidRDefault="00E031F4" w:rsidP="00413044">
            <w:pPr>
              <w:rPr>
                <w:rFonts w:ascii="Verdana" w:hAnsi="Verdana"/>
              </w:rPr>
            </w:pPr>
            <w:r w:rsidRPr="004D3445">
              <w:rPr>
                <w:rFonts w:ascii="Verdana" w:hAnsi="Verdana"/>
              </w:rPr>
              <w:t>F: MA</w:t>
            </w:r>
          </w:p>
          <w:p w14:paraId="19E5D58D" w14:textId="2E92F1DA" w:rsidR="00E031F4" w:rsidRPr="006547A2" w:rsidRDefault="00E031F4" w:rsidP="00413044">
            <w:pPr>
              <w:rPr>
                <w:rFonts w:ascii="Verdana" w:hAnsi="Verdana"/>
              </w:rPr>
            </w:pPr>
          </w:p>
        </w:tc>
      </w:tr>
      <w:tr w:rsidR="00E031F4" w:rsidRPr="006547A2" w14:paraId="3F73FA08" w14:textId="77777777" w:rsidTr="00413044">
        <w:tc>
          <w:tcPr>
            <w:tcW w:w="2589" w:type="dxa"/>
            <w:shd w:val="clear" w:color="auto" w:fill="auto"/>
          </w:tcPr>
          <w:p w14:paraId="04264A98" w14:textId="77777777" w:rsidR="00E031F4" w:rsidRPr="004D3445" w:rsidRDefault="00E031F4" w:rsidP="00413044">
            <w:pPr>
              <w:rPr>
                <w:rFonts w:ascii="Verdana" w:hAnsi="Verdana"/>
                <w:color w:val="000000"/>
              </w:rPr>
            </w:pPr>
            <w:proofErr w:type="spellStart"/>
            <w:r w:rsidRPr="004D3445">
              <w:rPr>
                <w:rFonts w:ascii="Verdana" w:hAnsi="Verdana"/>
                <w:b/>
                <w:bCs/>
                <w:color w:val="000000"/>
              </w:rPr>
              <w:t>Phyrago</w:t>
            </w:r>
            <w:proofErr w:type="spellEnd"/>
            <w:r w:rsidRPr="004D3445">
              <w:rPr>
                <w:rFonts w:ascii="Verdana" w:hAnsi="Verdana"/>
                <w:b/>
                <w:bCs/>
                <w:color w:val="000000"/>
              </w:rPr>
              <w:t xml:space="preserve"> </w:t>
            </w:r>
            <w:r w:rsidRPr="004D3445">
              <w:rPr>
                <w:rFonts w:ascii="Verdana" w:hAnsi="Verdana"/>
                <w:color w:val="000000"/>
              </w:rPr>
              <w:t>(</w:t>
            </w:r>
            <w:proofErr w:type="spellStart"/>
            <w:r w:rsidRPr="004D3445">
              <w:rPr>
                <w:rFonts w:ascii="Verdana" w:hAnsi="Verdana"/>
                <w:color w:val="000000"/>
              </w:rPr>
              <w:t>dasatinib</w:t>
            </w:r>
            <w:proofErr w:type="spellEnd"/>
            <w:r w:rsidRPr="004D3445">
              <w:rPr>
                <w:rFonts w:ascii="Verdana" w:hAnsi="Verdana"/>
                <w:color w:val="000000"/>
              </w:rPr>
              <w:t xml:space="preserve">) 20, 50, 70, 100, &amp; 140 mg tablets for Philadelphia chromosome-positive (Ph+) chronic myeloid leukemia (CML) &amp; </w:t>
            </w:r>
            <w:r w:rsidRPr="004D3445">
              <w:rPr>
                <w:rFonts w:ascii="Verdana" w:hAnsi="Verdana"/>
                <w:color w:val="000000"/>
              </w:rPr>
              <w:lastRenderedPageBreak/>
              <w:t>Ph+ acute lymphoblastic leukemia (ALL)</w:t>
            </w:r>
          </w:p>
          <w:p w14:paraId="74C27BEC" w14:textId="38C8A956" w:rsidR="00E031F4" w:rsidRPr="006547A2" w:rsidRDefault="00E031F4" w:rsidP="00413044">
            <w:pPr>
              <w:rPr>
                <w:rFonts w:ascii="Verdana" w:hAnsi="Verdana" w:cs="Arial"/>
              </w:rPr>
            </w:pPr>
          </w:p>
        </w:tc>
        <w:tc>
          <w:tcPr>
            <w:tcW w:w="4232" w:type="dxa"/>
            <w:shd w:val="clear" w:color="auto" w:fill="auto"/>
          </w:tcPr>
          <w:p w14:paraId="4C085640" w14:textId="77777777" w:rsidR="00E031F4" w:rsidRPr="004D3445" w:rsidRDefault="00E031F4" w:rsidP="00413044">
            <w:pPr>
              <w:rPr>
                <w:rFonts w:ascii="Verdana" w:hAnsi="Verdana"/>
              </w:rPr>
            </w:pPr>
            <w:r w:rsidRPr="004D3445">
              <w:rPr>
                <w:rFonts w:ascii="Verdana" w:hAnsi="Verdana"/>
              </w:rPr>
              <w:lastRenderedPageBreak/>
              <w:t xml:space="preserve">A new formulation of </w:t>
            </w:r>
            <w:proofErr w:type="spellStart"/>
            <w:r w:rsidRPr="004D3445">
              <w:rPr>
                <w:rFonts w:ascii="Verdana" w:hAnsi="Verdana"/>
              </w:rPr>
              <w:t>dasatinib</w:t>
            </w:r>
            <w:proofErr w:type="spellEnd"/>
            <w:r w:rsidRPr="004D3445">
              <w:rPr>
                <w:rFonts w:ascii="Verdana" w:hAnsi="Verdana"/>
              </w:rPr>
              <w:t xml:space="preserve">, branded as </w:t>
            </w:r>
            <w:proofErr w:type="spellStart"/>
            <w:r w:rsidRPr="004D3445">
              <w:rPr>
                <w:rFonts w:ascii="Verdana" w:hAnsi="Verdana"/>
              </w:rPr>
              <w:t>Phyrago</w:t>
            </w:r>
            <w:proofErr w:type="spellEnd"/>
            <w:r w:rsidRPr="004D3445">
              <w:rPr>
                <w:rFonts w:ascii="Verdana" w:hAnsi="Verdana"/>
              </w:rPr>
              <w:t>, was recently made available and eliminates the need to separate administration from gastric acid-reducing agents such as proton pump inhibitors and H2 receptor antagonists.</w:t>
            </w:r>
          </w:p>
          <w:p w14:paraId="641902AB" w14:textId="147A7434" w:rsidR="00E031F4" w:rsidRPr="006547A2" w:rsidRDefault="00E031F4" w:rsidP="00413044">
            <w:pPr>
              <w:rPr>
                <w:rFonts w:ascii="Verdana" w:hAnsi="Verdana"/>
              </w:rPr>
            </w:pPr>
          </w:p>
        </w:tc>
        <w:tc>
          <w:tcPr>
            <w:tcW w:w="4096" w:type="dxa"/>
            <w:shd w:val="clear" w:color="auto" w:fill="auto"/>
          </w:tcPr>
          <w:p w14:paraId="76E1B574" w14:textId="77777777" w:rsidR="00E031F4" w:rsidRPr="00C61183" w:rsidRDefault="00E031F4" w:rsidP="00413044">
            <w:pPr>
              <w:rPr>
                <w:rFonts w:ascii="Verdana" w:hAnsi="Verdana"/>
              </w:rPr>
            </w:pPr>
            <w:r w:rsidRPr="00C61183">
              <w:rPr>
                <w:rFonts w:ascii="Verdana" w:hAnsi="Verdana"/>
              </w:rPr>
              <w:t>NF: all lines of business</w:t>
            </w:r>
          </w:p>
          <w:p w14:paraId="2E8856BA" w14:textId="5FC10CEB" w:rsidR="00E031F4" w:rsidRPr="006547A2" w:rsidRDefault="00E031F4" w:rsidP="00413044">
            <w:pPr>
              <w:rPr>
                <w:rFonts w:ascii="Verdana" w:hAnsi="Verdana"/>
              </w:rPr>
            </w:pPr>
          </w:p>
        </w:tc>
      </w:tr>
      <w:tr w:rsidR="00E031F4" w:rsidRPr="006547A2" w14:paraId="12071E5F" w14:textId="77777777" w:rsidTr="00413044">
        <w:tc>
          <w:tcPr>
            <w:tcW w:w="2589" w:type="dxa"/>
            <w:shd w:val="clear" w:color="auto" w:fill="auto"/>
          </w:tcPr>
          <w:p w14:paraId="4BFB2C09" w14:textId="77777777" w:rsidR="00E031F4" w:rsidRPr="004D3445" w:rsidRDefault="00E031F4" w:rsidP="00413044">
            <w:pPr>
              <w:rPr>
                <w:rFonts w:ascii="Verdana" w:hAnsi="Verdana"/>
                <w:color w:val="000000"/>
              </w:rPr>
            </w:pPr>
            <w:proofErr w:type="spellStart"/>
            <w:r w:rsidRPr="004D3445">
              <w:rPr>
                <w:rFonts w:ascii="Verdana" w:hAnsi="Verdana"/>
                <w:b/>
                <w:bCs/>
                <w:color w:val="000000"/>
              </w:rPr>
              <w:t>Doptelet</w:t>
            </w:r>
            <w:proofErr w:type="spellEnd"/>
            <w:r w:rsidRPr="004D3445">
              <w:rPr>
                <w:rFonts w:ascii="Verdana" w:hAnsi="Verdana"/>
                <w:color w:val="000000"/>
              </w:rPr>
              <w:t xml:space="preserve"> (</w:t>
            </w:r>
            <w:proofErr w:type="spellStart"/>
            <w:r w:rsidRPr="004D3445">
              <w:rPr>
                <w:rFonts w:ascii="Verdana" w:hAnsi="Verdana"/>
                <w:color w:val="000000"/>
              </w:rPr>
              <w:t>avatrombopag</w:t>
            </w:r>
            <w:proofErr w:type="spellEnd"/>
            <w:r w:rsidRPr="004D3445">
              <w:rPr>
                <w:rFonts w:ascii="Verdana" w:hAnsi="Verdana"/>
                <w:color w:val="000000"/>
              </w:rPr>
              <w:t>) 10 mg sprinkle capsules for thrombocytopenia in pediatric patients ≥ 1 year with persistent or chronic ITP</w:t>
            </w:r>
          </w:p>
          <w:p w14:paraId="7829FC68" w14:textId="051515CC" w:rsidR="00E031F4" w:rsidRPr="006547A2" w:rsidRDefault="00E031F4" w:rsidP="00413044">
            <w:pPr>
              <w:rPr>
                <w:rFonts w:ascii="Verdana" w:hAnsi="Verdana" w:cs="Arial"/>
              </w:rPr>
            </w:pPr>
          </w:p>
        </w:tc>
        <w:tc>
          <w:tcPr>
            <w:tcW w:w="4232" w:type="dxa"/>
            <w:shd w:val="clear" w:color="auto" w:fill="auto"/>
          </w:tcPr>
          <w:p w14:paraId="7DD529B6" w14:textId="77777777" w:rsidR="00E031F4" w:rsidRPr="004D3445" w:rsidRDefault="00E031F4" w:rsidP="00413044">
            <w:pPr>
              <w:rPr>
                <w:rFonts w:ascii="Verdana" w:hAnsi="Verdana"/>
              </w:rPr>
            </w:pPr>
            <w:r w:rsidRPr="004D3445">
              <w:rPr>
                <w:rFonts w:ascii="Verdana" w:hAnsi="Verdana"/>
              </w:rPr>
              <w:t>A new lower strength 10 mg sprinkle capsule to support dosing in patients &lt; 6 years of age.</w:t>
            </w:r>
          </w:p>
          <w:p w14:paraId="7DC522E1" w14:textId="628B9E2E" w:rsidR="00E031F4" w:rsidRPr="006547A2" w:rsidRDefault="00E031F4" w:rsidP="00413044">
            <w:pPr>
              <w:rPr>
                <w:rFonts w:ascii="Verdana" w:hAnsi="Verdana"/>
              </w:rPr>
            </w:pPr>
          </w:p>
        </w:tc>
        <w:tc>
          <w:tcPr>
            <w:tcW w:w="4096" w:type="dxa"/>
            <w:shd w:val="clear" w:color="auto" w:fill="auto"/>
          </w:tcPr>
          <w:p w14:paraId="75AE2027" w14:textId="77777777" w:rsidR="00E031F4" w:rsidRPr="004D3445" w:rsidRDefault="00E031F4" w:rsidP="00413044">
            <w:pPr>
              <w:rPr>
                <w:rFonts w:ascii="Verdana" w:hAnsi="Verdana"/>
              </w:rPr>
            </w:pPr>
            <w:r w:rsidRPr="004D3445">
              <w:rPr>
                <w:rFonts w:ascii="Verdana" w:hAnsi="Verdana"/>
              </w:rPr>
              <w:t>NF: all lines of business</w:t>
            </w:r>
          </w:p>
          <w:p w14:paraId="0ED810BF" w14:textId="363566B0" w:rsidR="00E031F4" w:rsidRPr="006547A2" w:rsidRDefault="00E031F4" w:rsidP="00413044">
            <w:pPr>
              <w:rPr>
                <w:rFonts w:ascii="Verdana" w:hAnsi="Verdana"/>
              </w:rPr>
            </w:pPr>
          </w:p>
        </w:tc>
      </w:tr>
      <w:tr w:rsidR="00E031F4" w:rsidRPr="006547A2" w14:paraId="441BB526" w14:textId="77777777" w:rsidTr="00413044">
        <w:tc>
          <w:tcPr>
            <w:tcW w:w="2589" w:type="dxa"/>
            <w:shd w:val="clear" w:color="auto" w:fill="auto"/>
          </w:tcPr>
          <w:p w14:paraId="34146DE2" w14:textId="77777777" w:rsidR="00E031F4" w:rsidRPr="004D3445" w:rsidRDefault="00E031F4" w:rsidP="00413044">
            <w:pPr>
              <w:rPr>
                <w:rFonts w:ascii="Verdana" w:hAnsi="Verdana"/>
                <w:color w:val="000000"/>
              </w:rPr>
            </w:pPr>
            <w:r w:rsidRPr="004D3445">
              <w:rPr>
                <w:rFonts w:ascii="Verdana" w:hAnsi="Verdana"/>
                <w:b/>
                <w:bCs/>
                <w:color w:val="000000"/>
                <w:lang w:val="da-DK"/>
              </w:rPr>
              <w:t xml:space="preserve">Otezla XR </w:t>
            </w:r>
            <w:r w:rsidRPr="004D3445">
              <w:rPr>
                <w:rFonts w:ascii="Verdana" w:hAnsi="Verdana"/>
                <w:color w:val="000000"/>
                <w:lang w:val="da-DK"/>
              </w:rPr>
              <w:t>(apremilast) 75 mg tablets &amp; initiation pack with transition to 75 mg tablet for psoriatic arthritis, plaque psoriasis, or Behcet’s disease</w:t>
            </w:r>
          </w:p>
          <w:p w14:paraId="2B9C35FC" w14:textId="14F1E683" w:rsidR="00E031F4" w:rsidRPr="006547A2" w:rsidRDefault="00E031F4" w:rsidP="00413044">
            <w:pPr>
              <w:rPr>
                <w:rFonts w:ascii="Verdana" w:hAnsi="Verdana" w:cs="Arial"/>
              </w:rPr>
            </w:pPr>
          </w:p>
        </w:tc>
        <w:tc>
          <w:tcPr>
            <w:tcW w:w="4232" w:type="dxa"/>
            <w:shd w:val="clear" w:color="auto" w:fill="auto"/>
          </w:tcPr>
          <w:p w14:paraId="0EC8385E" w14:textId="77777777" w:rsidR="00E031F4" w:rsidRPr="004D3445" w:rsidRDefault="00E031F4" w:rsidP="00413044">
            <w:pPr>
              <w:rPr>
                <w:rFonts w:ascii="Verdana" w:hAnsi="Verdana"/>
              </w:rPr>
            </w:pPr>
            <w:r w:rsidRPr="004D3445">
              <w:rPr>
                <w:rFonts w:ascii="Verdana" w:hAnsi="Verdana"/>
              </w:rPr>
              <w:t xml:space="preserve">Otezla XR (apremilast) 75 mg tablets launched, providing a once daily dosing option. The 75 mg tablets may be used as an alternative to the twice daily 30 mg immediate-release regimen. </w:t>
            </w:r>
          </w:p>
          <w:p w14:paraId="22CFD938" w14:textId="4BF0FDBF" w:rsidR="00E031F4" w:rsidRPr="006547A2" w:rsidRDefault="00E031F4" w:rsidP="00413044">
            <w:pPr>
              <w:rPr>
                <w:rFonts w:ascii="Verdana" w:hAnsi="Verdana"/>
              </w:rPr>
            </w:pPr>
          </w:p>
        </w:tc>
        <w:tc>
          <w:tcPr>
            <w:tcW w:w="4096" w:type="dxa"/>
            <w:shd w:val="clear" w:color="auto" w:fill="auto"/>
          </w:tcPr>
          <w:p w14:paraId="322729A5" w14:textId="77777777" w:rsidR="00E031F4" w:rsidRPr="004D3445" w:rsidRDefault="00E031F4" w:rsidP="00413044">
            <w:pPr>
              <w:rPr>
                <w:rFonts w:ascii="Verdana" w:hAnsi="Verdana"/>
              </w:rPr>
            </w:pPr>
            <w:proofErr w:type="spellStart"/>
            <w:r w:rsidRPr="004D3445">
              <w:rPr>
                <w:rFonts w:ascii="Verdana" w:hAnsi="Verdana"/>
              </w:rPr>
              <w:t>MedD</w:t>
            </w:r>
            <w:proofErr w:type="spellEnd"/>
            <w:r w:rsidRPr="004D3445">
              <w:rPr>
                <w:rFonts w:ascii="Verdana" w:hAnsi="Verdana"/>
              </w:rPr>
              <w:t>, PPO - Pending</w:t>
            </w:r>
          </w:p>
          <w:p w14:paraId="23755AF6" w14:textId="77777777" w:rsidR="00E031F4" w:rsidRPr="004D3445" w:rsidRDefault="00E031F4" w:rsidP="00413044">
            <w:pPr>
              <w:rPr>
                <w:rFonts w:ascii="Verdana" w:hAnsi="Verdana"/>
              </w:rPr>
            </w:pPr>
            <w:r w:rsidRPr="004D3445">
              <w:rPr>
                <w:rFonts w:ascii="Verdana" w:hAnsi="Verdana"/>
              </w:rPr>
              <w:t>F: IFP</w:t>
            </w:r>
          </w:p>
          <w:p w14:paraId="682F55CC" w14:textId="77777777" w:rsidR="00E031F4" w:rsidRPr="004D3445" w:rsidRDefault="00E031F4" w:rsidP="00413044">
            <w:pPr>
              <w:rPr>
                <w:rFonts w:ascii="Verdana" w:hAnsi="Verdana"/>
              </w:rPr>
            </w:pPr>
            <w:r w:rsidRPr="004D3445">
              <w:rPr>
                <w:rFonts w:ascii="Verdana" w:hAnsi="Verdana"/>
              </w:rPr>
              <w:t>NF: MA</w:t>
            </w:r>
          </w:p>
          <w:p w14:paraId="1ACCF690" w14:textId="0C198D82" w:rsidR="00E031F4" w:rsidRPr="006547A2" w:rsidRDefault="00E031F4" w:rsidP="00413044">
            <w:pPr>
              <w:rPr>
                <w:rFonts w:ascii="Verdana" w:hAnsi="Verdana"/>
              </w:rPr>
            </w:pPr>
          </w:p>
        </w:tc>
      </w:tr>
      <w:tr w:rsidR="00E031F4" w:rsidRPr="006547A2" w14:paraId="602D44F3" w14:textId="77777777" w:rsidTr="00413044">
        <w:tc>
          <w:tcPr>
            <w:tcW w:w="2589" w:type="dxa"/>
            <w:shd w:val="clear" w:color="auto" w:fill="auto"/>
          </w:tcPr>
          <w:p w14:paraId="37AD2500" w14:textId="7AFB696B" w:rsidR="00E031F4" w:rsidRPr="006547A2" w:rsidRDefault="00E031F4" w:rsidP="00413044">
            <w:pPr>
              <w:rPr>
                <w:rFonts w:ascii="Verdana" w:hAnsi="Verdana" w:cs="Arial"/>
              </w:rPr>
            </w:pPr>
            <w:r w:rsidRPr="004D3445">
              <w:rPr>
                <w:rFonts w:ascii="Verdana" w:hAnsi="Verdana"/>
                <w:b/>
                <w:bCs/>
                <w:color w:val="000000"/>
              </w:rPr>
              <w:t xml:space="preserve">Zanaflex </w:t>
            </w:r>
            <w:r w:rsidRPr="004D3445">
              <w:rPr>
                <w:rFonts w:ascii="Verdana" w:hAnsi="Verdana"/>
                <w:color w:val="000000"/>
              </w:rPr>
              <w:t>(tizanidine) 8 mg capsules for spasticity</w:t>
            </w:r>
          </w:p>
        </w:tc>
        <w:tc>
          <w:tcPr>
            <w:tcW w:w="4232" w:type="dxa"/>
            <w:shd w:val="clear" w:color="auto" w:fill="auto"/>
          </w:tcPr>
          <w:p w14:paraId="1A0826CF" w14:textId="77777777" w:rsidR="00E031F4" w:rsidRPr="004D3445" w:rsidRDefault="00E031F4" w:rsidP="00413044">
            <w:pPr>
              <w:rPr>
                <w:rFonts w:ascii="Verdana" w:hAnsi="Verdana"/>
              </w:rPr>
            </w:pPr>
            <w:r w:rsidRPr="004D3445">
              <w:rPr>
                <w:rFonts w:ascii="Verdana" w:hAnsi="Verdana"/>
              </w:rPr>
              <w:t xml:space="preserve">A new 8 mg strength of tizanidine capsule was recently launched. This 8 mg strength, marketed under the brand name Zanaflex, is substantially higher cost than existing generic strengths. </w:t>
            </w:r>
          </w:p>
          <w:p w14:paraId="0871309E" w14:textId="26110B3C" w:rsidR="00E031F4" w:rsidRPr="006547A2" w:rsidRDefault="00E031F4" w:rsidP="00413044">
            <w:pPr>
              <w:rPr>
                <w:rFonts w:ascii="Verdana" w:hAnsi="Verdana"/>
              </w:rPr>
            </w:pPr>
          </w:p>
        </w:tc>
        <w:tc>
          <w:tcPr>
            <w:tcW w:w="4096" w:type="dxa"/>
            <w:shd w:val="clear" w:color="auto" w:fill="auto"/>
          </w:tcPr>
          <w:p w14:paraId="45C58D45" w14:textId="77777777" w:rsidR="00E031F4" w:rsidRPr="00C61183" w:rsidRDefault="00E031F4" w:rsidP="00413044">
            <w:pPr>
              <w:rPr>
                <w:rFonts w:ascii="Verdana" w:hAnsi="Verdana"/>
              </w:rPr>
            </w:pPr>
            <w:r w:rsidRPr="00C61183">
              <w:rPr>
                <w:rFonts w:ascii="Verdana" w:hAnsi="Verdana"/>
              </w:rPr>
              <w:t>NF: all lines of business</w:t>
            </w:r>
          </w:p>
          <w:p w14:paraId="7962D90A" w14:textId="4B566A8D" w:rsidR="00E031F4" w:rsidRPr="006547A2" w:rsidRDefault="00E031F4" w:rsidP="00413044">
            <w:pPr>
              <w:rPr>
                <w:rFonts w:ascii="Verdana" w:hAnsi="Verdana"/>
              </w:rPr>
            </w:pPr>
          </w:p>
        </w:tc>
      </w:tr>
      <w:tr w:rsidR="00E031F4" w:rsidRPr="006547A2" w14:paraId="413C099F" w14:textId="77777777" w:rsidTr="00413044">
        <w:tc>
          <w:tcPr>
            <w:tcW w:w="2589" w:type="dxa"/>
            <w:shd w:val="clear" w:color="auto" w:fill="auto"/>
          </w:tcPr>
          <w:p w14:paraId="46C96124" w14:textId="77777777" w:rsidR="00E031F4" w:rsidRPr="004D3445" w:rsidRDefault="00E031F4" w:rsidP="00413044">
            <w:pPr>
              <w:rPr>
                <w:rFonts w:ascii="Verdana" w:hAnsi="Verdana"/>
                <w:color w:val="000000"/>
              </w:rPr>
            </w:pPr>
            <w:r w:rsidRPr="004D3445">
              <w:rPr>
                <w:rFonts w:ascii="Verdana" w:hAnsi="Verdana"/>
                <w:b/>
                <w:bCs/>
                <w:color w:val="000000"/>
              </w:rPr>
              <w:t xml:space="preserve">Escitalopram 15 mg </w:t>
            </w:r>
            <w:r w:rsidRPr="004D3445">
              <w:rPr>
                <w:rFonts w:ascii="Verdana" w:hAnsi="Verdana"/>
                <w:color w:val="000000"/>
              </w:rPr>
              <w:t>capsules for major depressive disorder &amp; generalized anxiety disorder</w:t>
            </w:r>
          </w:p>
          <w:p w14:paraId="7E52A175" w14:textId="4D619C54" w:rsidR="00E031F4" w:rsidRPr="006547A2" w:rsidRDefault="00E031F4" w:rsidP="00413044">
            <w:pPr>
              <w:rPr>
                <w:rFonts w:ascii="Verdana" w:hAnsi="Verdana" w:cs="Arial"/>
              </w:rPr>
            </w:pPr>
          </w:p>
        </w:tc>
        <w:tc>
          <w:tcPr>
            <w:tcW w:w="4232" w:type="dxa"/>
            <w:shd w:val="clear" w:color="auto" w:fill="auto"/>
          </w:tcPr>
          <w:p w14:paraId="4308F632" w14:textId="36A06A16" w:rsidR="00E031F4" w:rsidRPr="006547A2" w:rsidRDefault="00E031F4" w:rsidP="00413044">
            <w:pPr>
              <w:rPr>
                <w:rFonts w:ascii="Verdana" w:hAnsi="Verdana"/>
              </w:rPr>
            </w:pPr>
            <w:r w:rsidRPr="004D3445">
              <w:rPr>
                <w:rFonts w:ascii="Verdana" w:hAnsi="Verdana"/>
              </w:rPr>
              <w:t>Escitalopram 15 mg capsule has joined existing 5 mg, 10 mg, and 20 mg tablet strengths. While this strength allows for a lower pill burden than taking one 5 mg and 10 mg tablet, it comes at a price premium – approximately $6/dose vs less than $0.40/dose for the two existing strengths combined.</w:t>
            </w:r>
          </w:p>
        </w:tc>
        <w:tc>
          <w:tcPr>
            <w:tcW w:w="4096" w:type="dxa"/>
            <w:shd w:val="clear" w:color="auto" w:fill="auto"/>
          </w:tcPr>
          <w:p w14:paraId="431296D3" w14:textId="77777777" w:rsidR="00E031F4" w:rsidRPr="00C61183" w:rsidRDefault="00E031F4" w:rsidP="00413044">
            <w:pPr>
              <w:rPr>
                <w:rFonts w:ascii="Verdana" w:hAnsi="Verdana"/>
              </w:rPr>
            </w:pPr>
            <w:r w:rsidRPr="00C61183">
              <w:rPr>
                <w:rFonts w:ascii="Verdana" w:hAnsi="Verdana"/>
              </w:rPr>
              <w:t>NF: all lines of bu</w:t>
            </w:r>
            <w:r>
              <w:rPr>
                <w:rFonts w:ascii="Verdana" w:hAnsi="Verdana"/>
              </w:rPr>
              <w:t>si</w:t>
            </w:r>
            <w:r w:rsidRPr="00C61183">
              <w:rPr>
                <w:rFonts w:ascii="Verdana" w:hAnsi="Verdana"/>
              </w:rPr>
              <w:t>ness</w:t>
            </w:r>
          </w:p>
          <w:p w14:paraId="49D9BD32" w14:textId="4D427126" w:rsidR="00E031F4" w:rsidRPr="006547A2" w:rsidRDefault="00E031F4" w:rsidP="00413044">
            <w:pPr>
              <w:rPr>
                <w:rFonts w:ascii="Verdana" w:hAnsi="Verdana"/>
              </w:rPr>
            </w:pPr>
          </w:p>
        </w:tc>
      </w:tr>
      <w:tr w:rsidR="00E031F4" w:rsidRPr="006547A2" w14:paraId="19B63FA6" w14:textId="77777777" w:rsidTr="00413044">
        <w:tc>
          <w:tcPr>
            <w:tcW w:w="2589" w:type="dxa"/>
            <w:shd w:val="clear" w:color="auto" w:fill="auto"/>
          </w:tcPr>
          <w:p w14:paraId="3B30E569" w14:textId="77777777" w:rsidR="00E031F4" w:rsidRPr="004D3445" w:rsidRDefault="00E031F4" w:rsidP="00413044">
            <w:pPr>
              <w:rPr>
                <w:rFonts w:ascii="Verdana" w:hAnsi="Verdana"/>
                <w:color w:val="000000"/>
              </w:rPr>
            </w:pPr>
            <w:proofErr w:type="spellStart"/>
            <w:r w:rsidRPr="004D3445">
              <w:rPr>
                <w:rFonts w:ascii="Verdana" w:hAnsi="Verdana"/>
                <w:b/>
                <w:bCs/>
                <w:color w:val="000000"/>
              </w:rPr>
              <w:t>Zoryve</w:t>
            </w:r>
            <w:proofErr w:type="spellEnd"/>
            <w:r w:rsidRPr="004D3445">
              <w:rPr>
                <w:rFonts w:ascii="Verdana" w:hAnsi="Verdana"/>
                <w:b/>
                <w:bCs/>
                <w:color w:val="000000"/>
              </w:rPr>
              <w:t xml:space="preserve"> </w:t>
            </w:r>
            <w:r w:rsidRPr="004D3445">
              <w:rPr>
                <w:rFonts w:ascii="Verdana" w:hAnsi="Verdana"/>
                <w:color w:val="000000"/>
              </w:rPr>
              <w:t>(roflumilast) 0.05% cream for atopic dermatitis in children aged 2-5 years of age; AND</w:t>
            </w:r>
            <w:r w:rsidRPr="004D3445">
              <w:rPr>
                <w:rFonts w:ascii="Verdana" w:hAnsi="Verdana"/>
                <w:b/>
                <w:bCs/>
                <w:color w:val="000000"/>
              </w:rPr>
              <w:t xml:space="preserve"> </w:t>
            </w:r>
            <w:proofErr w:type="spellStart"/>
            <w:r w:rsidRPr="004D3445">
              <w:rPr>
                <w:rFonts w:ascii="Verdana" w:hAnsi="Verdana"/>
                <w:b/>
                <w:bCs/>
                <w:color w:val="000000"/>
              </w:rPr>
              <w:t>Zoryve</w:t>
            </w:r>
            <w:proofErr w:type="spellEnd"/>
            <w:r w:rsidRPr="004D3445">
              <w:rPr>
                <w:rFonts w:ascii="Verdana" w:hAnsi="Verdana"/>
                <w:b/>
                <w:bCs/>
                <w:color w:val="000000"/>
              </w:rPr>
              <w:t xml:space="preserve"> </w:t>
            </w:r>
            <w:r w:rsidRPr="004D3445">
              <w:rPr>
                <w:rFonts w:ascii="Verdana" w:hAnsi="Verdana"/>
                <w:color w:val="000000"/>
              </w:rPr>
              <w:t xml:space="preserve">(roflumilast) 0.3% foam for </w:t>
            </w:r>
            <w:r w:rsidRPr="004D3445">
              <w:rPr>
                <w:rFonts w:ascii="Verdana" w:hAnsi="Verdana"/>
                <w:color w:val="000000"/>
              </w:rPr>
              <w:lastRenderedPageBreak/>
              <w:t xml:space="preserve">plaque psoriasis of scalp &amp; body &amp; seborrheic dermatitis; AND </w:t>
            </w:r>
            <w:proofErr w:type="spellStart"/>
            <w:r w:rsidRPr="004D3445">
              <w:rPr>
                <w:rFonts w:ascii="Verdana" w:hAnsi="Verdana"/>
                <w:b/>
                <w:bCs/>
                <w:color w:val="000000"/>
              </w:rPr>
              <w:t>Zoryve</w:t>
            </w:r>
            <w:proofErr w:type="spellEnd"/>
            <w:r w:rsidRPr="004D3445">
              <w:rPr>
                <w:rFonts w:ascii="Verdana" w:hAnsi="Verdana"/>
                <w:color w:val="000000"/>
              </w:rPr>
              <w:t xml:space="preserve"> (roflumilast) 0.3% cream for plaque psoriasis</w:t>
            </w:r>
          </w:p>
          <w:p w14:paraId="399946F3" w14:textId="34B711CA" w:rsidR="00E031F4" w:rsidRPr="006547A2" w:rsidRDefault="00E031F4" w:rsidP="00413044">
            <w:pPr>
              <w:rPr>
                <w:rFonts w:ascii="Verdana" w:hAnsi="Verdana" w:cs="Arial"/>
              </w:rPr>
            </w:pPr>
          </w:p>
        </w:tc>
        <w:tc>
          <w:tcPr>
            <w:tcW w:w="4232" w:type="dxa"/>
            <w:shd w:val="clear" w:color="auto" w:fill="auto"/>
          </w:tcPr>
          <w:p w14:paraId="5DDDAEEE" w14:textId="77777777" w:rsidR="00E031F4" w:rsidRPr="004D3445" w:rsidRDefault="00E031F4" w:rsidP="00413044">
            <w:pPr>
              <w:rPr>
                <w:rFonts w:ascii="Verdana" w:hAnsi="Verdana"/>
              </w:rPr>
            </w:pPr>
            <w:r w:rsidRPr="004D3445">
              <w:rPr>
                <w:rFonts w:ascii="Verdana" w:hAnsi="Verdana"/>
              </w:rPr>
              <w:lastRenderedPageBreak/>
              <w:t xml:space="preserve">New strengths of </w:t>
            </w:r>
            <w:proofErr w:type="spellStart"/>
            <w:r w:rsidRPr="004D3445">
              <w:rPr>
                <w:rFonts w:ascii="Verdana" w:hAnsi="Verdana"/>
              </w:rPr>
              <w:t>Zoryve</w:t>
            </w:r>
            <w:proofErr w:type="spellEnd"/>
            <w:r w:rsidRPr="004D3445">
              <w:rPr>
                <w:rFonts w:ascii="Verdana" w:hAnsi="Verdana"/>
              </w:rPr>
              <w:t xml:space="preserve"> released to support pediatric use and new indications</w:t>
            </w:r>
          </w:p>
          <w:p w14:paraId="4843AD2C" w14:textId="35C4D956" w:rsidR="00E031F4" w:rsidRPr="006547A2" w:rsidRDefault="00E031F4" w:rsidP="00413044">
            <w:pPr>
              <w:tabs>
                <w:tab w:val="left" w:pos="1125"/>
              </w:tabs>
              <w:rPr>
                <w:rFonts w:ascii="Verdana" w:hAnsi="Verdana"/>
              </w:rPr>
            </w:pPr>
          </w:p>
        </w:tc>
        <w:tc>
          <w:tcPr>
            <w:tcW w:w="4096" w:type="dxa"/>
            <w:shd w:val="clear" w:color="auto" w:fill="auto"/>
          </w:tcPr>
          <w:p w14:paraId="1C8CCCBC" w14:textId="77777777" w:rsidR="00E031F4" w:rsidRPr="00946E7B" w:rsidRDefault="00E031F4" w:rsidP="00413044">
            <w:pPr>
              <w:rPr>
                <w:rFonts w:ascii="Verdana" w:hAnsi="Verdana"/>
              </w:rPr>
            </w:pPr>
            <w:r w:rsidRPr="00946E7B">
              <w:rPr>
                <w:rFonts w:ascii="Verdana" w:hAnsi="Verdana"/>
              </w:rPr>
              <w:t>NF: all lines of business</w:t>
            </w:r>
          </w:p>
          <w:p w14:paraId="6757431B" w14:textId="08FB950D" w:rsidR="00E031F4" w:rsidRPr="006547A2" w:rsidRDefault="00E031F4" w:rsidP="00413044">
            <w:pPr>
              <w:rPr>
                <w:rFonts w:ascii="Verdana" w:hAnsi="Verdana"/>
              </w:rPr>
            </w:pPr>
          </w:p>
        </w:tc>
      </w:tr>
      <w:tr w:rsidR="00E031F4" w:rsidRPr="006547A2" w14:paraId="5CB11D2F" w14:textId="77777777" w:rsidTr="00413044">
        <w:tc>
          <w:tcPr>
            <w:tcW w:w="2589" w:type="dxa"/>
            <w:shd w:val="clear" w:color="auto" w:fill="auto"/>
          </w:tcPr>
          <w:p w14:paraId="60970DD4" w14:textId="77777777" w:rsidR="00E031F4" w:rsidRPr="004D3445" w:rsidRDefault="00E031F4" w:rsidP="00413044">
            <w:pPr>
              <w:rPr>
                <w:rFonts w:ascii="Verdana" w:hAnsi="Verdana"/>
                <w:color w:val="000000"/>
              </w:rPr>
            </w:pPr>
            <w:proofErr w:type="spellStart"/>
            <w:r w:rsidRPr="004D3445">
              <w:rPr>
                <w:rFonts w:ascii="Verdana" w:hAnsi="Verdana"/>
                <w:b/>
                <w:bCs/>
                <w:color w:val="000000"/>
              </w:rPr>
              <w:t>Koselugo</w:t>
            </w:r>
            <w:proofErr w:type="spellEnd"/>
            <w:r w:rsidRPr="004D3445">
              <w:rPr>
                <w:rFonts w:ascii="Verdana" w:hAnsi="Verdana"/>
                <w:color w:val="000000"/>
              </w:rPr>
              <w:t xml:space="preserve"> (selumetinib) 5 &amp; 7.5 mg oral sprinkle capsules neurofibromatosis type 1</w:t>
            </w:r>
          </w:p>
          <w:p w14:paraId="716722D9" w14:textId="6E3252F6" w:rsidR="00E031F4" w:rsidRPr="006547A2" w:rsidRDefault="00E031F4" w:rsidP="00413044">
            <w:pPr>
              <w:rPr>
                <w:rFonts w:ascii="Verdana" w:hAnsi="Verdana" w:cs="Arial"/>
              </w:rPr>
            </w:pPr>
          </w:p>
        </w:tc>
        <w:tc>
          <w:tcPr>
            <w:tcW w:w="4232" w:type="dxa"/>
            <w:shd w:val="clear" w:color="auto" w:fill="auto"/>
          </w:tcPr>
          <w:p w14:paraId="1DFA6D70" w14:textId="77777777" w:rsidR="00E031F4" w:rsidRPr="004D3445" w:rsidRDefault="00E031F4" w:rsidP="00413044">
            <w:pPr>
              <w:rPr>
                <w:rFonts w:ascii="Verdana" w:hAnsi="Verdana"/>
              </w:rPr>
            </w:pPr>
            <w:r w:rsidRPr="004D3445">
              <w:rPr>
                <w:rFonts w:ascii="Verdana" w:hAnsi="Verdana"/>
              </w:rPr>
              <w:t>New 5 mg and 7.5 mg selumetinib sprinkle capsules launched to support an age expansion for pediatric patients ≥ 1 year of age</w:t>
            </w:r>
          </w:p>
          <w:p w14:paraId="1CB0E0D6" w14:textId="7A25D67F" w:rsidR="00E031F4" w:rsidRPr="006547A2" w:rsidRDefault="00E031F4" w:rsidP="00413044">
            <w:pPr>
              <w:rPr>
                <w:rFonts w:ascii="Verdana" w:hAnsi="Verdana"/>
              </w:rPr>
            </w:pPr>
          </w:p>
        </w:tc>
        <w:tc>
          <w:tcPr>
            <w:tcW w:w="4096" w:type="dxa"/>
            <w:shd w:val="clear" w:color="auto" w:fill="auto"/>
          </w:tcPr>
          <w:p w14:paraId="2B4518FC" w14:textId="77777777" w:rsidR="00E031F4" w:rsidRPr="004D3445" w:rsidRDefault="00E031F4" w:rsidP="00413044">
            <w:pPr>
              <w:rPr>
                <w:rFonts w:ascii="Verdana" w:hAnsi="Verdana"/>
              </w:rPr>
            </w:pPr>
            <w:r w:rsidRPr="004D3445">
              <w:rPr>
                <w:rFonts w:ascii="Verdana" w:hAnsi="Verdana"/>
              </w:rPr>
              <w:t>F: all lines of business</w:t>
            </w:r>
          </w:p>
          <w:p w14:paraId="48AE2AEA" w14:textId="4B2EAEDF" w:rsidR="00E031F4" w:rsidRPr="006547A2" w:rsidRDefault="00E031F4" w:rsidP="00413044">
            <w:pPr>
              <w:rPr>
                <w:rFonts w:ascii="Verdana" w:hAnsi="Verdana"/>
              </w:rPr>
            </w:pPr>
          </w:p>
        </w:tc>
      </w:tr>
      <w:tr w:rsidR="00E031F4" w:rsidRPr="006547A2" w14:paraId="7B4252ED" w14:textId="77777777" w:rsidTr="00413044">
        <w:tc>
          <w:tcPr>
            <w:tcW w:w="2589" w:type="dxa"/>
            <w:shd w:val="clear" w:color="auto" w:fill="auto"/>
          </w:tcPr>
          <w:p w14:paraId="3A744B88" w14:textId="77777777" w:rsidR="00E031F4" w:rsidRPr="004D3445" w:rsidRDefault="00E031F4" w:rsidP="00413044">
            <w:pPr>
              <w:rPr>
                <w:rFonts w:ascii="Verdana" w:hAnsi="Verdana"/>
                <w:b/>
                <w:bCs/>
                <w:color w:val="000000"/>
              </w:rPr>
            </w:pPr>
            <w:proofErr w:type="spellStart"/>
            <w:r w:rsidRPr="004D3445">
              <w:rPr>
                <w:rFonts w:ascii="Verdana" w:hAnsi="Verdana"/>
                <w:b/>
                <w:bCs/>
                <w:color w:val="000000"/>
              </w:rPr>
              <w:t>Krystexxa</w:t>
            </w:r>
            <w:proofErr w:type="spellEnd"/>
            <w:r w:rsidRPr="004D3445">
              <w:rPr>
                <w:rFonts w:ascii="Verdana" w:hAnsi="Verdana"/>
                <w:b/>
                <w:bCs/>
                <w:color w:val="000000"/>
              </w:rPr>
              <w:t xml:space="preserve"> </w:t>
            </w:r>
            <w:r w:rsidRPr="004D3445">
              <w:rPr>
                <w:rFonts w:ascii="Verdana" w:hAnsi="Verdana"/>
                <w:color w:val="000000"/>
              </w:rPr>
              <w:t>(</w:t>
            </w:r>
            <w:proofErr w:type="spellStart"/>
            <w:r w:rsidRPr="004D3445">
              <w:rPr>
                <w:rFonts w:ascii="Verdana" w:hAnsi="Verdana"/>
                <w:color w:val="000000"/>
              </w:rPr>
              <w:t>pegloticase</w:t>
            </w:r>
            <w:proofErr w:type="spellEnd"/>
            <w:r w:rsidRPr="004D3445">
              <w:rPr>
                <w:rFonts w:ascii="Verdana" w:hAnsi="Verdana"/>
                <w:color w:val="000000"/>
              </w:rPr>
              <w:t xml:space="preserve">) 8 mg/50 mL IV vial for chronic gout in </w:t>
            </w:r>
            <w:proofErr w:type="gramStart"/>
            <w:r w:rsidRPr="004D3445">
              <w:rPr>
                <w:rFonts w:ascii="Verdana" w:hAnsi="Verdana"/>
                <w:color w:val="000000"/>
              </w:rPr>
              <w:t>adults</w:t>
            </w:r>
            <w:proofErr w:type="gramEnd"/>
            <w:r w:rsidRPr="004D3445">
              <w:rPr>
                <w:rFonts w:ascii="Verdana" w:hAnsi="Verdana"/>
                <w:color w:val="000000"/>
              </w:rPr>
              <w:t xml:space="preserve"> refractory to conventional therapy</w:t>
            </w:r>
          </w:p>
          <w:p w14:paraId="3B8963CE" w14:textId="77777777" w:rsidR="00E031F4" w:rsidRPr="004D3445" w:rsidRDefault="00E031F4" w:rsidP="00413044">
            <w:pPr>
              <w:rPr>
                <w:rFonts w:ascii="Verdana" w:hAnsi="Verdana"/>
                <w:b/>
                <w:bCs/>
                <w:color w:val="000000"/>
              </w:rPr>
            </w:pPr>
          </w:p>
        </w:tc>
        <w:tc>
          <w:tcPr>
            <w:tcW w:w="4232" w:type="dxa"/>
            <w:shd w:val="clear" w:color="auto" w:fill="auto"/>
          </w:tcPr>
          <w:p w14:paraId="1A826D83" w14:textId="77777777" w:rsidR="00E031F4" w:rsidRPr="004D3445" w:rsidRDefault="00E031F4" w:rsidP="00413044">
            <w:pPr>
              <w:rPr>
                <w:rFonts w:ascii="Verdana" w:hAnsi="Verdana"/>
              </w:rPr>
            </w:pPr>
            <w:proofErr w:type="spellStart"/>
            <w:r w:rsidRPr="004D3445">
              <w:rPr>
                <w:rFonts w:ascii="Verdana" w:hAnsi="Verdana"/>
              </w:rPr>
              <w:t>Krystexxa</w:t>
            </w:r>
            <w:proofErr w:type="spellEnd"/>
            <w:r w:rsidRPr="004D3445">
              <w:rPr>
                <w:rFonts w:ascii="Verdana" w:hAnsi="Verdana"/>
              </w:rPr>
              <w:t xml:space="preserve"> (</w:t>
            </w:r>
            <w:proofErr w:type="spellStart"/>
            <w:r w:rsidRPr="004D3445">
              <w:rPr>
                <w:rFonts w:ascii="Verdana" w:hAnsi="Verdana"/>
              </w:rPr>
              <w:t>pegloticase</w:t>
            </w:r>
            <w:proofErr w:type="spellEnd"/>
            <w:r w:rsidRPr="004D3445">
              <w:rPr>
                <w:rFonts w:ascii="Verdana" w:hAnsi="Verdana"/>
              </w:rPr>
              <w:t xml:space="preserve">) had a new vial size and strength launch, with an 8 mg/50 mL vial for IV administration joining the previously available 8 mg/mL IV vial. </w:t>
            </w:r>
          </w:p>
          <w:p w14:paraId="20C6B91E" w14:textId="77777777" w:rsidR="00E031F4" w:rsidRPr="004D3445" w:rsidRDefault="00E031F4" w:rsidP="00413044">
            <w:pPr>
              <w:rPr>
                <w:rFonts w:ascii="Verdana" w:hAnsi="Verdana"/>
              </w:rPr>
            </w:pPr>
          </w:p>
        </w:tc>
        <w:tc>
          <w:tcPr>
            <w:tcW w:w="4096" w:type="dxa"/>
            <w:shd w:val="clear" w:color="auto" w:fill="auto"/>
          </w:tcPr>
          <w:p w14:paraId="18AFEA8C" w14:textId="77777777" w:rsidR="00E031F4" w:rsidRPr="004D3445" w:rsidRDefault="00E031F4" w:rsidP="00413044">
            <w:pPr>
              <w:rPr>
                <w:rFonts w:ascii="Verdana" w:hAnsi="Verdana"/>
              </w:rPr>
            </w:pPr>
            <w:r w:rsidRPr="004D3445">
              <w:rPr>
                <w:rFonts w:ascii="Verdana" w:hAnsi="Verdana"/>
              </w:rPr>
              <w:t>NF: all lines of business</w:t>
            </w:r>
          </w:p>
          <w:p w14:paraId="02B8813A" w14:textId="77777777" w:rsidR="00E031F4" w:rsidRPr="004D3445" w:rsidRDefault="00E031F4" w:rsidP="00413044">
            <w:pPr>
              <w:rPr>
                <w:rFonts w:ascii="Verdana" w:hAnsi="Verdana"/>
              </w:rPr>
            </w:pPr>
          </w:p>
        </w:tc>
      </w:tr>
      <w:tr w:rsidR="00E031F4" w:rsidRPr="006547A2" w14:paraId="2475346B" w14:textId="77777777" w:rsidTr="00413044">
        <w:tc>
          <w:tcPr>
            <w:tcW w:w="2589" w:type="dxa"/>
            <w:shd w:val="clear" w:color="auto" w:fill="auto"/>
          </w:tcPr>
          <w:p w14:paraId="3F68A49E" w14:textId="77777777" w:rsidR="00E031F4" w:rsidRPr="004D3445" w:rsidRDefault="00E031F4" w:rsidP="00413044">
            <w:pPr>
              <w:rPr>
                <w:rFonts w:ascii="Verdana" w:hAnsi="Verdana"/>
                <w:b/>
                <w:bCs/>
                <w:color w:val="000000"/>
              </w:rPr>
            </w:pPr>
            <w:proofErr w:type="spellStart"/>
            <w:r w:rsidRPr="004D3445">
              <w:rPr>
                <w:rFonts w:ascii="Verdana" w:hAnsi="Verdana"/>
                <w:b/>
                <w:bCs/>
                <w:color w:val="000000"/>
              </w:rPr>
              <w:t>Evexithroid</w:t>
            </w:r>
            <w:proofErr w:type="spellEnd"/>
            <w:r w:rsidRPr="004D3445">
              <w:rPr>
                <w:rFonts w:ascii="Verdana" w:hAnsi="Verdana"/>
                <w:b/>
                <w:bCs/>
                <w:color w:val="000000"/>
              </w:rPr>
              <w:t xml:space="preserve"> </w:t>
            </w:r>
            <w:r w:rsidRPr="004D3445">
              <w:rPr>
                <w:rFonts w:ascii="Verdana" w:hAnsi="Verdana"/>
                <w:color w:val="000000"/>
              </w:rPr>
              <w:t>(thyroid) 45 &amp; 75 mg tablets for hypothyroidism</w:t>
            </w:r>
          </w:p>
          <w:p w14:paraId="3BD6F73C" w14:textId="77777777" w:rsidR="00E031F4" w:rsidRPr="004D3445" w:rsidRDefault="00E031F4" w:rsidP="00413044">
            <w:pPr>
              <w:rPr>
                <w:rFonts w:ascii="Verdana" w:hAnsi="Verdana"/>
                <w:b/>
                <w:bCs/>
                <w:color w:val="000000"/>
              </w:rPr>
            </w:pPr>
          </w:p>
        </w:tc>
        <w:tc>
          <w:tcPr>
            <w:tcW w:w="4232" w:type="dxa"/>
            <w:shd w:val="clear" w:color="auto" w:fill="auto"/>
          </w:tcPr>
          <w:p w14:paraId="40D78E24" w14:textId="2C8020A2" w:rsidR="00E031F4" w:rsidRPr="004D3445" w:rsidRDefault="00E031F4" w:rsidP="00413044">
            <w:pPr>
              <w:rPr>
                <w:rFonts w:ascii="Verdana" w:hAnsi="Verdana"/>
              </w:rPr>
            </w:pPr>
            <w:r w:rsidRPr="004D3445">
              <w:rPr>
                <w:rFonts w:ascii="Verdana" w:hAnsi="Verdana"/>
              </w:rPr>
              <w:t xml:space="preserve">Two new strengths of </w:t>
            </w:r>
            <w:proofErr w:type="spellStart"/>
            <w:r w:rsidRPr="004D3445">
              <w:rPr>
                <w:rFonts w:ascii="Verdana" w:hAnsi="Verdana"/>
              </w:rPr>
              <w:t>Evexithroid</w:t>
            </w:r>
            <w:proofErr w:type="spellEnd"/>
            <w:r w:rsidRPr="004D3445">
              <w:rPr>
                <w:rFonts w:ascii="Verdana" w:hAnsi="Verdana"/>
              </w:rPr>
              <w:t xml:space="preserve"> launched (45 and 75 mg tablets) with similar costs to existing strengths. </w:t>
            </w:r>
          </w:p>
        </w:tc>
        <w:tc>
          <w:tcPr>
            <w:tcW w:w="4096" w:type="dxa"/>
            <w:shd w:val="clear" w:color="auto" w:fill="auto"/>
          </w:tcPr>
          <w:p w14:paraId="4A70BB85" w14:textId="77777777" w:rsidR="00E031F4" w:rsidRPr="004D3445" w:rsidRDefault="00E031F4" w:rsidP="00413044">
            <w:pPr>
              <w:rPr>
                <w:rFonts w:ascii="Verdana" w:hAnsi="Verdana"/>
              </w:rPr>
            </w:pPr>
            <w:r w:rsidRPr="004D3445">
              <w:rPr>
                <w:rFonts w:ascii="Verdana" w:hAnsi="Verdana"/>
              </w:rPr>
              <w:t xml:space="preserve">NF: </w:t>
            </w:r>
            <w:proofErr w:type="spellStart"/>
            <w:r w:rsidRPr="004D3445">
              <w:rPr>
                <w:rFonts w:ascii="Verdana" w:hAnsi="Verdana"/>
              </w:rPr>
              <w:t>MedD</w:t>
            </w:r>
            <w:proofErr w:type="spellEnd"/>
            <w:r w:rsidRPr="004D3445">
              <w:rPr>
                <w:rFonts w:ascii="Verdana" w:hAnsi="Verdana"/>
              </w:rPr>
              <w:t>, PPO</w:t>
            </w:r>
          </w:p>
          <w:p w14:paraId="61D6C0E5" w14:textId="77777777" w:rsidR="00E031F4" w:rsidRPr="004D3445" w:rsidRDefault="00E031F4" w:rsidP="00413044">
            <w:pPr>
              <w:rPr>
                <w:rFonts w:ascii="Verdana" w:hAnsi="Verdana"/>
              </w:rPr>
            </w:pPr>
            <w:r w:rsidRPr="004D3445">
              <w:rPr>
                <w:rFonts w:ascii="Verdana" w:hAnsi="Verdana"/>
              </w:rPr>
              <w:t>F: IFP, MA</w:t>
            </w:r>
          </w:p>
          <w:p w14:paraId="2874D0A6" w14:textId="77777777" w:rsidR="00E031F4" w:rsidRPr="004D3445" w:rsidRDefault="00E031F4" w:rsidP="00413044">
            <w:pPr>
              <w:rPr>
                <w:rFonts w:ascii="Verdana" w:hAnsi="Verdana"/>
              </w:rPr>
            </w:pPr>
          </w:p>
        </w:tc>
      </w:tr>
      <w:tr w:rsidR="00E031F4" w:rsidRPr="006547A2" w14:paraId="3EC307C6" w14:textId="77777777" w:rsidTr="00413044">
        <w:tc>
          <w:tcPr>
            <w:tcW w:w="2589" w:type="dxa"/>
            <w:shd w:val="clear" w:color="auto" w:fill="auto"/>
          </w:tcPr>
          <w:p w14:paraId="5B0E1976" w14:textId="77777777" w:rsidR="00E031F4" w:rsidRPr="004D3445" w:rsidRDefault="00E031F4" w:rsidP="00413044">
            <w:pPr>
              <w:rPr>
                <w:rFonts w:ascii="Verdana" w:hAnsi="Verdana"/>
                <w:b/>
                <w:bCs/>
                <w:color w:val="000000"/>
              </w:rPr>
            </w:pPr>
            <w:proofErr w:type="spellStart"/>
            <w:r w:rsidRPr="004D3445">
              <w:rPr>
                <w:rFonts w:ascii="Verdana" w:hAnsi="Verdana"/>
                <w:b/>
                <w:bCs/>
                <w:color w:val="000000"/>
              </w:rPr>
              <w:t>Vyscoxa</w:t>
            </w:r>
            <w:proofErr w:type="spellEnd"/>
            <w:r w:rsidRPr="004D3445">
              <w:rPr>
                <w:rFonts w:ascii="Verdana" w:hAnsi="Verdana"/>
                <w:b/>
                <w:bCs/>
                <w:color w:val="000000"/>
              </w:rPr>
              <w:t xml:space="preserve"> </w:t>
            </w:r>
            <w:r w:rsidRPr="004D3445">
              <w:rPr>
                <w:rFonts w:ascii="Verdana" w:hAnsi="Verdana"/>
                <w:color w:val="000000"/>
              </w:rPr>
              <w:t>(celecoxib) 10 mg/mL oral suspension for arthritis &amp; ankylosing spondylitis</w:t>
            </w:r>
          </w:p>
          <w:p w14:paraId="7AFE4C52" w14:textId="77777777" w:rsidR="00E031F4" w:rsidRPr="004D3445" w:rsidRDefault="00E031F4" w:rsidP="00413044">
            <w:pPr>
              <w:rPr>
                <w:rFonts w:ascii="Verdana" w:hAnsi="Verdana"/>
                <w:b/>
                <w:bCs/>
                <w:color w:val="000000"/>
              </w:rPr>
            </w:pPr>
          </w:p>
        </w:tc>
        <w:tc>
          <w:tcPr>
            <w:tcW w:w="4232" w:type="dxa"/>
            <w:shd w:val="clear" w:color="auto" w:fill="auto"/>
          </w:tcPr>
          <w:p w14:paraId="08C2DEE1" w14:textId="46F3983D" w:rsidR="00E031F4" w:rsidRPr="004D3445" w:rsidRDefault="00E031F4" w:rsidP="00413044">
            <w:pPr>
              <w:rPr>
                <w:rFonts w:ascii="Verdana" w:hAnsi="Verdana"/>
              </w:rPr>
            </w:pPr>
            <w:r w:rsidRPr="004D3445">
              <w:rPr>
                <w:rFonts w:ascii="Verdana" w:hAnsi="Verdana"/>
              </w:rPr>
              <w:t xml:space="preserve">A new celecoxib oral suspension launched. The WAC for a 473 mL bottle of </w:t>
            </w:r>
            <w:proofErr w:type="spellStart"/>
            <w:r w:rsidRPr="004D3445">
              <w:rPr>
                <w:rFonts w:ascii="Verdana" w:hAnsi="Verdana"/>
              </w:rPr>
              <w:t>Vyscoxa</w:t>
            </w:r>
            <w:proofErr w:type="spellEnd"/>
            <w:r w:rsidRPr="004D3445">
              <w:rPr>
                <w:rFonts w:ascii="Verdana" w:hAnsi="Verdana"/>
              </w:rPr>
              <w:t xml:space="preserve"> is $2,895.49. Generic capsules, which can be opened and added to apple sauce, have MAC pricing (~$0.15 to ~$1.10).</w:t>
            </w:r>
          </w:p>
        </w:tc>
        <w:tc>
          <w:tcPr>
            <w:tcW w:w="4096" w:type="dxa"/>
            <w:shd w:val="clear" w:color="auto" w:fill="auto"/>
          </w:tcPr>
          <w:p w14:paraId="0A2423DF" w14:textId="77777777" w:rsidR="00E031F4" w:rsidRPr="004D3445" w:rsidRDefault="00E031F4" w:rsidP="00413044">
            <w:pPr>
              <w:rPr>
                <w:rFonts w:ascii="Verdana" w:hAnsi="Verdana"/>
              </w:rPr>
            </w:pPr>
            <w:r w:rsidRPr="004D3445">
              <w:rPr>
                <w:rFonts w:ascii="Verdana" w:hAnsi="Verdana"/>
              </w:rPr>
              <w:t>NF: all lines of business</w:t>
            </w:r>
          </w:p>
          <w:p w14:paraId="36ED0AC5" w14:textId="77777777" w:rsidR="00E031F4" w:rsidRPr="004D3445" w:rsidRDefault="00E031F4" w:rsidP="00413044">
            <w:pPr>
              <w:rPr>
                <w:rFonts w:ascii="Verdana" w:hAnsi="Verdana"/>
              </w:rPr>
            </w:pPr>
          </w:p>
        </w:tc>
      </w:tr>
      <w:tr w:rsidR="00E031F4" w:rsidRPr="006547A2" w14:paraId="66C12403" w14:textId="77777777" w:rsidTr="00413044">
        <w:tc>
          <w:tcPr>
            <w:tcW w:w="2589" w:type="dxa"/>
            <w:shd w:val="clear" w:color="auto" w:fill="auto"/>
          </w:tcPr>
          <w:p w14:paraId="1A8F7F5A" w14:textId="77777777" w:rsidR="00E031F4" w:rsidRPr="004D3445" w:rsidRDefault="00E031F4" w:rsidP="00413044">
            <w:pPr>
              <w:rPr>
                <w:rFonts w:ascii="Verdana" w:hAnsi="Verdana"/>
                <w:b/>
                <w:bCs/>
                <w:color w:val="000000"/>
              </w:rPr>
            </w:pPr>
            <w:proofErr w:type="spellStart"/>
            <w:r w:rsidRPr="004D3445">
              <w:rPr>
                <w:rFonts w:ascii="Verdana" w:hAnsi="Verdana"/>
                <w:b/>
                <w:bCs/>
                <w:color w:val="000000"/>
              </w:rPr>
              <w:t>Tonmya</w:t>
            </w:r>
            <w:proofErr w:type="spellEnd"/>
            <w:r w:rsidRPr="004D3445">
              <w:rPr>
                <w:rFonts w:ascii="Verdana" w:hAnsi="Verdana"/>
                <w:b/>
                <w:bCs/>
                <w:color w:val="000000"/>
              </w:rPr>
              <w:t xml:space="preserve"> </w:t>
            </w:r>
            <w:r w:rsidRPr="004D3445">
              <w:rPr>
                <w:rFonts w:ascii="Verdana" w:hAnsi="Verdana"/>
                <w:color w:val="000000"/>
              </w:rPr>
              <w:t>(cyclobenzaprine) 2.8 mg sublingual tablet for fibromyalgia</w:t>
            </w:r>
          </w:p>
          <w:p w14:paraId="7592CD66" w14:textId="77777777" w:rsidR="00E031F4" w:rsidRPr="004D3445" w:rsidRDefault="00E031F4" w:rsidP="00413044">
            <w:pPr>
              <w:rPr>
                <w:rFonts w:ascii="Verdana" w:hAnsi="Verdana"/>
                <w:b/>
                <w:bCs/>
                <w:color w:val="000000"/>
              </w:rPr>
            </w:pPr>
          </w:p>
        </w:tc>
        <w:tc>
          <w:tcPr>
            <w:tcW w:w="4232" w:type="dxa"/>
            <w:shd w:val="clear" w:color="auto" w:fill="auto"/>
          </w:tcPr>
          <w:p w14:paraId="0E1567A1" w14:textId="77777777" w:rsidR="00E031F4" w:rsidRPr="004D3445" w:rsidRDefault="00E031F4" w:rsidP="00413044">
            <w:pPr>
              <w:rPr>
                <w:rFonts w:ascii="Verdana" w:hAnsi="Verdana"/>
              </w:rPr>
            </w:pPr>
            <w:proofErr w:type="spellStart"/>
            <w:r w:rsidRPr="004D3445">
              <w:rPr>
                <w:rFonts w:ascii="Verdana" w:hAnsi="Verdana"/>
              </w:rPr>
              <w:t>Tonmya</w:t>
            </w:r>
            <w:proofErr w:type="spellEnd"/>
            <w:r w:rsidRPr="004D3445">
              <w:rPr>
                <w:rFonts w:ascii="Verdana" w:hAnsi="Verdana"/>
              </w:rPr>
              <w:t xml:space="preserve"> is a sublingual formulation of cyclobenzaprine indicated for the treatment of fibromyalgia in adults. Maintenance dosing costs $1,860 per month.</w:t>
            </w:r>
          </w:p>
          <w:p w14:paraId="1BDEB3A6" w14:textId="77777777" w:rsidR="00E031F4" w:rsidRPr="004D3445" w:rsidRDefault="00E031F4" w:rsidP="00413044">
            <w:pPr>
              <w:rPr>
                <w:rFonts w:ascii="Verdana" w:hAnsi="Verdana"/>
              </w:rPr>
            </w:pPr>
          </w:p>
        </w:tc>
        <w:tc>
          <w:tcPr>
            <w:tcW w:w="4096" w:type="dxa"/>
            <w:shd w:val="clear" w:color="auto" w:fill="auto"/>
          </w:tcPr>
          <w:p w14:paraId="66354D59" w14:textId="77777777" w:rsidR="00E031F4" w:rsidRPr="004D3445" w:rsidRDefault="00E031F4" w:rsidP="00413044">
            <w:pPr>
              <w:rPr>
                <w:rFonts w:ascii="Verdana" w:hAnsi="Verdana"/>
              </w:rPr>
            </w:pPr>
            <w:r w:rsidRPr="004D3445">
              <w:rPr>
                <w:rFonts w:ascii="Verdana" w:hAnsi="Verdana"/>
              </w:rPr>
              <w:t>NF: all lines of business</w:t>
            </w:r>
          </w:p>
          <w:p w14:paraId="499EA8DE" w14:textId="77777777" w:rsidR="00E031F4" w:rsidRPr="004D3445" w:rsidRDefault="00E031F4" w:rsidP="00413044">
            <w:pPr>
              <w:rPr>
                <w:rFonts w:ascii="Verdana" w:hAnsi="Verdana"/>
              </w:rPr>
            </w:pPr>
          </w:p>
        </w:tc>
      </w:tr>
      <w:tr w:rsidR="00E031F4" w:rsidRPr="006547A2" w14:paraId="010401A6" w14:textId="77777777" w:rsidTr="00413044">
        <w:tc>
          <w:tcPr>
            <w:tcW w:w="2589" w:type="dxa"/>
            <w:shd w:val="clear" w:color="auto" w:fill="auto"/>
          </w:tcPr>
          <w:p w14:paraId="11BFF2BB" w14:textId="77777777" w:rsidR="00E031F4" w:rsidRPr="004D3445" w:rsidRDefault="00E031F4" w:rsidP="00413044">
            <w:pPr>
              <w:rPr>
                <w:rFonts w:ascii="Verdana" w:hAnsi="Verdana"/>
                <w:b/>
                <w:bCs/>
                <w:color w:val="000000"/>
              </w:rPr>
            </w:pPr>
            <w:proofErr w:type="spellStart"/>
            <w:r w:rsidRPr="004D3445">
              <w:rPr>
                <w:rFonts w:ascii="Verdana" w:hAnsi="Verdana"/>
                <w:b/>
                <w:bCs/>
                <w:color w:val="000000"/>
              </w:rPr>
              <w:t>Beizray</w:t>
            </w:r>
            <w:proofErr w:type="spellEnd"/>
            <w:r w:rsidRPr="004D3445">
              <w:rPr>
                <w:rFonts w:ascii="Verdana" w:hAnsi="Verdana"/>
                <w:b/>
                <w:bCs/>
                <w:color w:val="000000"/>
              </w:rPr>
              <w:t xml:space="preserve"> </w:t>
            </w:r>
            <w:r w:rsidRPr="004D3445">
              <w:rPr>
                <w:rFonts w:ascii="Verdana" w:hAnsi="Verdana"/>
                <w:color w:val="000000"/>
              </w:rPr>
              <w:t>(docetaxel-albumin) 80 mg/4 mL IV vials for various oncology indications</w:t>
            </w:r>
          </w:p>
          <w:p w14:paraId="79239E32" w14:textId="77777777" w:rsidR="00E031F4" w:rsidRPr="004D3445" w:rsidRDefault="00E031F4" w:rsidP="00413044">
            <w:pPr>
              <w:rPr>
                <w:rFonts w:ascii="Verdana" w:hAnsi="Verdana"/>
                <w:b/>
                <w:bCs/>
                <w:color w:val="000000"/>
              </w:rPr>
            </w:pPr>
          </w:p>
        </w:tc>
        <w:tc>
          <w:tcPr>
            <w:tcW w:w="4232" w:type="dxa"/>
            <w:shd w:val="clear" w:color="auto" w:fill="auto"/>
          </w:tcPr>
          <w:p w14:paraId="0BCFB6F8" w14:textId="77777777" w:rsidR="00E031F4" w:rsidRPr="004D3445" w:rsidRDefault="00E031F4" w:rsidP="00413044">
            <w:pPr>
              <w:rPr>
                <w:rFonts w:ascii="Verdana" w:hAnsi="Verdana"/>
              </w:rPr>
            </w:pPr>
            <w:proofErr w:type="spellStart"/>
            <w:r w:rsidRPr="004D3445">
              <w:rPr>
                <w:rFonts w:ascii="Verdana" w:hAnsi="Verdana"/>
              </w:rPr>
              <w:t>Beizray</w:t>
            </w:r>
            <w:proofErr w:type="spellEnd"/>
            <w:r w:rsidRPr="004D3445">
              <w:rPr>
                <w:rFonts w:ascii="Verdana" w:hAnsi="Verdana"/>
              </w:rPr>
              <w:t xml:space="preserve"> was approved via the 505(b)(2) pathway. As it uses albumin instead of synthetic excipients such as polysorbate-80 or </w:t>
            </w:r>
            <w:proofErr w:type="spellStart"/>
            <w:r w:rsidRPr="004D3445">
              <w:rPr>
                <w:rFonts w:ascii="Verdana" w:hAnsi="Verdana"/>
              </w:rPr>
              <w:t>sulfobutyl</w:t>
            </w:r>
            <w:proofErr w:type="spellEnd"/>
            <w:r w:rsidRPr="004D3445">
              <w:rPr>
                <w:rFonts w:ascii="Verdana" w:hAnsi="Verdana"/>
              </w:rPr>
              <w:t xml:space="preserve"> ether cyclodextrin, the </w:t>
            </w:r>
            <w:r w:rsidRPr="004D3445">
              <w:rPr>
                <w:rFonts w:ascii="Verdana" w:hAnsi="Verdana"/>
              </w:rPr>
              <w:lastRenderedPageBreak/>
              <w:t xml:space="preserve">manufacturer believes this will be more tolerable. </w:t>
            </w:r>
          </w:p>
          <w:p w14:paraId="6678D1B5" w14:textId="77777777" w:rsidR="00E031F4" w:rsidRPr="004D3445" w:rsidRDefault="00E031F4" w:rsidP="00413044">
            <w:pPr>
              <w:rPr>
                <w:rFonts w:ascii="Verdana" w:hAnsi="Verdana"/>
              </w:rPr>
            </w:pPr>
          </w:p>
        </w:tc>
        <w:tc>
          <w:tcPr>
            <w:tcW w:w="4096" w:type="dxa"/>
            <w:shd w:val="clear" w:color="auto" w:fill="auto"/>
          </w:tcPr>
          <w:p w14:paraId="3AAB0E91" w14:textId="77777777" w:rsidR="00E031F4" w:rsidRPr="004D3445" w:rsidRDefault="00E031F4" w:rsidP="00413044">
            <w:pPr>
              <w:rPr>
                <w:rFonts w:ascii="Verdana" w:hAnsi="Verdana"/>
              </w:rPr>
            </w:pPr>
            <w:r w:rsidRPr="004D3445">
              <w:rPr>
                <w:rFonts w:ascii="Verdana" w:hAnsi="Verdana"/>
              </w:rPr>
              <w:lastRenderedPageBreak/>
              <w:t>NF: all lines of business</w:t>
            </w:r>
          </w:p>
          <w:p w14:paraId="4411FC2C" w14:textId="77777777" w:rsidR="00E031F4" w:rsidRPr="004D3445" w:rsidRDefault="00E031F4" w:rsidP="00413044">
            <w:pPr>
              <w:rPr>
                <w:rFonts w:ascii="Verdana" w:hAnsi="Verdana"/>
              </w:rPr>
            </w:pPr>
          </w:p>
        </w:tc>
      </w:tr>
      <w:tr w:rsidR="00E031F4" w:rsidRPr="006547A2" w14:paraId="086B78F1" w14:textId="77777777" w:rsidTr="00413044">
        <w:tc>
          <w:tcPr>
            <w:tcW w:w="2589" w:type="dxa"/>
            <w:shd w:val="clear" w:color="auto" w:fill="auto"/>
          </w:tcPr>
          <w:p w14:paraId="1E0B58EB" w14:textId="77777777" w:rsidR="00E031F4" w:rsidRPr="004D3445" w:rsidRDefault="00E031F4" w:rsidP="00413044">
            <w:pPr>
              <w:rPr>
                <w:rFonts w:ascii="Verdana" w:hAnsi="Verdana"/>
                <w:b/>
                <w:bCs/>
                <w:color w:val="000000"/>
              </w:rPr>
            </w:pPr>
            <w:r w:rsidRPr="004D3445">
              <w:rPr>
                <w:rFonts w:ascii="Verdana" w:hAnsi="Verdana"/>
                <w:b/>
                <w:bCs/>
                <w:color w:val="000000"/>
              </w:rPr>
              <w:t xml:space="preserve">Keytruda </w:t>
            </w:r>
            <w:proofErr w:type="spellStart"/>
            <w:r w:rsidRPr="004D3445">
              <w:rPr>
                <w:rFonts w:ascii="Verdana" w:hAnsi="Verdana"/>
                <w:b/>
                <w:bCs/>
                <w:color w:val="000000"/>
              </w:rPr>
              <w:t>Qlex</w:t>
            </w:r>
            <w:proofErr w:type="spellEnd"/>
            <w:r w:rsidRPr="004D3445">
              <w:rPr>
                <w:rFonts w:ascii="Verdana" w:hAnsi="Verdana"/>
                <w:b/>
                <w:bCs/>
                <w:color w:val="000000"/>
              </w:rPr>
              <w:t xml:space="preserve"> </w:t>
            </w:r>
            <w:r w:rsidRPr="004D3445">
              <w:rPr>
                <w:rFonts w:ascii="Verdana" w:hAnsi="Verdana"/>
                <w:color w:val="000000"/>
              </w:rPr>
              <w:t>(pembrolizumab-</w:t>
            </w:r>
            <w:proofErr w:type="spellStart"/>
            <w:r w:rsidRPr="004D3445">
              <w:rPr>
                <w:rFonts w:ascii="Verdana" w:hAnsi="Verdana"/>
                <w:color w:val="000000"/>
              </w:rPr>
              <w:t>berahyaluronidase</w:t>
            </w:r>
            <w:proofErr w:type="spellEnd"/>
            <w:r w:rsidRPr="004D3445">
              <w:rPr>
                <w:rFonts w:ascii="Verdana" w:hAnsi="Verdana"/>
                <w:color w:val="000000"/>
              </w:rPr>
              <w:t xml:space="preserve"> alfa) 165 mg-2,000 units/mL SQ vials for various oncology indications</w:t>
            </w:r>
          </w:p>
          <w:p w14:paraId="15857DFE" w14:textId="77777777" w:rsidR="00E031F4" w:rsidRPr="004D3445" w:rsidRDefault="00E031F4" w:rsidP="00413044">
            <w:pPr>
              <w:rPr>
                <w:rFonts w:ascii="Verdana" w:hAnsi="Verdana"/>
                <w:b/>
                <w:bCs/>
                <w:color w:val="000000"/>
              </w:rPr>
            </w:pPr>
          </w:p>
        </w:tc>
        <w:tc>
          <w:tcPr>
            <w:tcW w:w="4232" w:type="dxa"/>
            <w:shd w:val="clear" w:color="auto" w:fill="auto"/>
          </w:tcPr>
          <w:p w14:paraId="3D3F2BDA" w14:textId="345EFF05" w:rsidR="00E031F4" w:rsidRPr="004D3445" w:rsidRDefault="00E031F4" w:rsidP="00413044">
            <w:pPr>
              <w:rPr>
                <w:rFonts w:ascii="Verdana" w:hAnsi="Verdana"/>
              </w:rPr>
            </w:pPr>
            <w:r w:rsidRPr="004D3445">
              <w:rPr>
                <w:rFonts w:ascii="Verdana" w:hAnsi="Verdana"/>
              </w:rPr>
              <w:t xml:space="preserve">A new subcutaneous, but still healthcare provider administered, version of Keytruda has launched in Keytruda </w:t>
            </w:r>
            <w:proofErr w:type="spellStart"/>
            <w:r w:rsidRPr="004D3445">
              <w:rPr>
                <w:rFonts w:ascii="Verdana" w:hAnsi="Verdana"/>
              </w:rPr>
              <w:t>Qlex</w:t>
            </w:r>
            <w:proofErr w:type="spellEnd"/>
            <w:r w:rsidRPr="004D3445">
              <w:rPr>
                <w:rFonts w:ascii="Verdana" w:hAnsi="Verdana"/>
              </w:rPr>
              <w:t xml:space="preserve">. This allows for easier administration as the new dose form can be given over 1-2 minutes, rather than a 30-minute IV infusion. </w:t>
            </w:r>
          </w:p>
        </w:tc>
        <w:tc>
          <w:tcPr>
            <w:tcW w:w="4096" w:type="dxa"/>
            <w:shd w:val="clear" w:color="auto" w:fill="auto"/>
          </w:tcPr>
          <w:p w14:paraId="3B6A3FE1" w14:textId="77777777" w:rsidR="00E031F4" w:rsidRPr="004D3445" w:rsidRDefault="00E031F4" w:rsidP="00413044">
            <w:pPr>
              <w:rPr>
                <w:rFonts w:ascii="Verdana" w:hAnsi="Verdana"/>
              </w:rPr>
            </w:pPr>
            <w:r w:rsidRPr="004D3445">
              <w:rPr>
                <w:rFonts w:ascii="Verdana" w:hAnsi="Verdana"/>
              </w:rPr>
              <w:t>NF: all lines of business</w:t>
            </w:r>
          </w:p>
          <w:p w14:paraId="3B8214F9" w14:textId="77777777" w:rsidR="00E031F4" w:rsidRPr="004D3445" w:rsidRDefault="00E031F4" w:rsidP="00413044">
            <w:pPr>
              <w:rPr>
                <w:rFonts w:ascii="Verdana" w:hAnsi="Verdana"/>
              </w:rPr>
            </w:pPr>
          </w:p>
        </w:tc>
      </w:tr>
    </w:tbl>
    <w:p w14:paraId="36A9C293" w14:textId="40291E6A" w:rsidR="00255A16" w:rsidRPr="00852F8C" w:rsidRDefault="00413044" w:rsidP="00E32DDA">
      <w:pPr>
        <w:rPr>
          <w:rFonts w:ascii="Verdana" w:eastAsia="Times New Roman" w:hAnsi="Verdana" w:cs="Arial"/>
          <w:b/>
          <w:sz w:val="20"/>
          <w:szCs w:val="20"/>
        </w:rPr>
      </w:pPr>
      <w:r>
        <w:rPr>
          <w:rFonts w:ascii="Verdana" w:eastAsia="Times New Roman" w:hAnsi="Verdana" w:cs="Arial"/>
          <w:b/>
          <w:sz w:val="20"/>
          <w:szCs w:val="20"/>
        </w:rPr>
        <w:br w:type="textWrapping" w:clear="all"/>
      </w:r>
    </w:p>
    <w:tbl>
      <w:tblPr>
        <w:tblStyle w:val="LightList-Accent5"/>
        <w:tblW w:w="10890" w:type="dxa"/>
        <w:tblInd w:w="-95" w:type="dxa"/>
        <w:tblBorders>
          <w:top w:val="single" w:sz="4" w:space="0" w:color="17365D" w:themeColor="text2" w:themeShade="BF"/>
          <w:left w:val="single" w:sz="4" w:space="0" w:color="17365D" w:themeColor="text2" w:themeShade="BF"/>
          <w:bottom w:val="single" w:sz="4" w:space="0" w:color="17365D" w:themeColor="text2" w:themeShade="BF"/>
          <w:right w:val="single" w:sz="4" w:space="0" w:color="17365D" w:themeColor="text2" w:themeShade="BF"/>
          <w:insideH w:val="single" w:sz="4" w:space="0" w:color="17365D" w:themeColor="text2" w:themeShade="BF"/>
          <w:insideV w:val="single" w:sz="4" w:space="0" w:color="17365D" w:themeColor="text2" w:themeShade="BF"/>
        </w:tblBorders>
        <w:tblLayout w:type="fixed"/>
        <w:tblLook w:val="04A0" w:firstRow="1" w:lastRow="0" w:firstColumn="1" w:lastColumn="0" w:noHBand="0" w:noVBand="1"/>
      </w:tblPr>
      <w:tblGrid>
        <w:gridCol w:w="10890"/>
      </w:tblGrid>
      <w:tr w:rsidR="000A6E31" w:rsidRPr="00852F8C" w14:paraId="5A3864ED" w14:textId="77777777" w:rsidTr="004416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90" w:type="dxa"/>
            <w:shd w:val="clear" w:color="auto" w:fill="00205B"/>
          </w:tcPr>
          <w:bookmarkEnd w:id="1"/>
          <w:p w14:paraId="661BF950" w14:textId="77777777" w:rsidR="000A6E31" w:rsidRPr="00852F8C" w:rsidRDefault="000A6E31" w:rsidP="005247AA">
            <w:pPr>
              <w:spacing w:after="240"/>
              <w:rPr>
                <w:rFonts w:ascii="Verdana" w:eastAsia="Times New Roman" w:hAnsi="Verdana" w:cs="Arial"/>
                <w:b w:val="0"/>
                <w:sz w:val="20"/>
                <w:szCs w:val="20"/>
              </w:rPr>
            </w:pPr>
            <w:r w:rsidRPr="00852F8C">
              <w:rPr>
                <w:rFonts w:ascii="Verdana" w:eastAsia="Times New Roman" w:hAnsi="Verdana" w:cs="Arial"/>
                <w:sz w:val="20"/>
                <w:szCs w:val="20"/>
              </w:rPr>
              <w:t xml:space="preserve">Additional Items Reviewed </w:t>
            </w:r>
          </w:p>
        </w:tc>
      </w:tr>
    </w:tbl>
    <w:tbl>
      <w:tblPr>
        <w:tblStyle w:val="TableGrid"/>
        <w:tblW w:w="10890" w:type="dxa"/>
        <w:tblInd w:w="-95" w:type="dxa"/>
        <w:tblLook w:val="04A0" w:firstRow="1" w:lastRow="0" w:firstColumn="1" w:lastColumn="0" w:noHBand="0" w:noVBand="1"/>
      </w:tblPr>
      <w:tblGrid>
        <w:gridCol w:w="2520"/>
        <w:gridCol w:w="8370"/>
      </w:tblGrid>
      <w:tr w:rsidR="000A6E31" w:rsidRPr="00852F8C" w14:paraId="4588D2D6" w14:textId="77777777" w:rsidTr="001C0339">
        <w:tc>
          <w:tcPr>
            <w:tcW w:w="2520" w:type="dxa"/>
          </w:tcPr>
          <w:p w14:paraId="4084C365" w14:textId="77777777" w:rsidR="000A6E31" w:rsidRPr="00852F8C" w:rsidRDefault="000A6E31" w:rsidP="005247AA">
            <w:pPr>
              <w:spacing w:after="240"/>
              <w:rPr>
                <w:rFonts w:ascii="Verdana" w:eastAsia="Times New Roman" w:hAnsi="Verdana" w:cs="Arial"/>
                <w:b/>
                <w:sz w:val="20"/>
                <w:szCs w:val="20"/>
              </w:rPr>
            </w:pPr>
            <w:r w:rsidRPr="00852F8C">
              <w:rPr>
                <w:rFonts w:ascii="Verdana" w:hAnsi="Verdana"/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8370" w:type="dxa"/>
          </w:tcPr>
          <w:p w14:paraId="4048D7BA" w14:textId="1A200632" w:rsidR="000A6E31" w:rsidRPr="00852F8C" w:rsidRDefault="00822707" w:rsidP="005247AA">
            <w:pPr>
              <w:spacing w:after="240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Drugs with New Policies</w:t>
            </w:r>
          </w:p>
        </w:tc>
      </w:tr>
      <w:tr w:rsidR="00822707" w:rsidRPr="00852F8C" w14:paraId="689CEF80" w14:textId="77777777" w:rsidTr="00347888">
        <w:trPr>
          <w:trHeight w:val="377"/>
        </w:trPr>
        <w:tc>
          <w:tcPr>
            <w:tcW w:w="2520" w:type="dxa"/>
          </w:tcPr>
          <w:p w14:paraId="0A40655A" w14:textId="43094BC6" w:rsidR="00822707" w:rsidRDefault="00822707" w:rsidP="00822707">
            <w:pPr>
              <w:rPr>
                <w:rFonts w:ascii="Verdana" w:hAnsi="Verdana" w:cs="Times New Roman"/>
                <w:bCs/>
              </w:rPr>
            </w:pPr>
            <w:r w:rsidRPr="006547A2">
              <w:rPr>
                <w:rFonts w:ascii="Verdana" w:hAnsi="Verdana" w:cs="Times New Roman"/>
                <w:bCs/>
              </w:rPr>
              <w:t xml:space="preserve">New Medical Drug Policies (effective </w:t>
            </w:r>
            <w:r w:rsidR="00413044">
              <w:rPr>
                <w:rFonts w:ascii="Verdana" w:hAnsi="Verdana" w:cs="Times New Roman"/>
                <w:bCs/>
              </w:rPr>
              <w:t>02/01</w:t>
            </w:r>
            <w:r w:rsidRPr="006547A2">
              <w:rPr>
                <w:rFonts w:ascii="Verdana" w:hAnsi="Verdana" w:cs="Times New Roman"/>
                <w:bCs/>
              </w:rPr>
              <w:t>/202</w:t>
            </w:r>
            <w:r w:rsidR="00413044">
              <w:rPr>
                <w:rFonts w:ascii="Verdana" w:hAnsi="Verdana" w:cs="Times New Roman"/>
                <w:bCs/>
              </w:rPr>
              <w:t>6</w:t>
            </w:r>
            <w:r w:rsidRPr="006547A2">
              <w:rPr>
                <w:rFonts w:ascii="Verdana" w:hAnsi="Verdana" w:cs="Times New Roman"/>
                <w:bCs/>
              </w:rPr>
              <w:t>)</w:t>
            </w:r>
          </w:p>
          <w:p w14:paraId="47B4D3B8" w14:textId="77777777" w:rsidR="00C56DA1" w:rsidRDefault="00C56DA1" w:rsidP="00822707">
            <w:pPr>
              <w:rPr>
                <w:rFonts w:ascii="Verdana" w:hAnsi="Verdana" w:cs="Times New Roman"/>
                <w:bCs/>
              </w:rPr>
            </w:pPr>
          </w:p>
          <w:p w14:paraId="166089E0" w14:textId="252CE866" w:rsidR="00C56DA1" w:rsidRPr="006547A2" w:rsidRDefault="00C56DA1" w:rsidP="00822707">
            <w:pPr>
              <w:rPr>
                <w:rFonts w:ascii="Verdana" w:hAnsi="Verdana" w:cs="Times New Roman"/>
                <w:bCs/>
              </w:rPr>
            </w:pPr>
          </w:p>
        </w:tc>
        <w:tc>
          <w:tcPr>
            <w:tcW w:w="8370" w:type="dxa"/>
          </w:tcPr>
          <w:p w14:paraId="3E6044BB" w14:textId="57170D94" w:rsidR="00413044" w:rsidRPr="00413044" w:rsidRDefault="00413044" w:rsidP="00D337DA">
            <w:pPr>
              <w:pStyle w:val="ListParagraph"/>
              <w:numPr>
                <w:ilvl w:val="0"/>
                <w:numId w:val="27"/>
              </w:numPr>
              <w:rPr>
                <w:rFonts w:ascii="Verdana" w:hAnsi="Verdana" w:cs="Times New Roman"/>
                <w:bCs/>
              </w:rPr>
            </w:pPr>
            <w:proofErr w:type="spellStart"/>
            <w:r w:rsidRPr="00413044">
              <w:rPr>
                <w:rFonts w:ascii="Verdana" w:hAnsi="Verdana"/>
                <w:bCs/>
              </w:rPr>
              <w:t>Dawnzera</w:t>
            </w:r>
            <w:proofErr w:type="spellEnd"/>
          </w:p>
          <w:p w14:paraId="0878A991" w14:textId="77777777" w:rsidR="00413044" w:rsidRPr="00413044" w:rsidRDefault="00413044" w:rsidP="00D337DA">
            <w:pPr>
              <w:pStyle w:val="ListParagraph"/>
              <w:numPr>
                <w:ilvl w:val="0"/>
                <w:numId w:val="27"/>
              </w:numPr>
              <w:rPr>
                <w:rFonts w:ascii="Verdana" w:hAnsi="Verdana" w:cs="Times New Roman"/>
                <w:bCs/>
              </w:rPr>
            </w:pPr>
            <w:proofErr w:type="spellStart"/>
            <w:r w:rsidRPr="00413044">
              <w:rPr>
                <w:rFonts w:ascii="Verdana" w:hAnsi="Verdana"/>
                <w:bCs/>
              </w:rPr>
              <w:t>Inlexzo</w:t>
            </w:r>
            <w:proofErr w:type="spellEnd"/>
            <w:r w:rsidRPr="00413044">
              <w:rPr>
                <w:rFonts w:ascii="Verdana" w:hAnsi="Verdana"/>
                <w:bCs/>
              </w:rPr>
              <w:t xml:space="preserve"> </w:t>
            </w:r>
          </w:p>
          <w:p w14:paraId="35508357" w14:textId="77777777" w:rsidR="00413044" w:rsidRPr="00413044" w:rsidRDefault="00413044" w:rsidP="00D337DA">
            <w:pPr>
              <w:pStyle w:val="ListParagraph"/>
              <w:numPr>
                <w:ilvl w:val="0"/>
                <w:numId w:val="27"/>
              </w:numPr>
              <w:rPr>
                <w:rFonts w:ascii="Verdana" w:hAnsi="Verdana" w:cs="Times New Roman"/>
                <w:bCs/>
              </w:rPr>
            </w:pPr>
            <w:r w:rsidRPr="00413044">
              <w:rPr>
                <w:rFonts w:ascii="Verdana" w:hAnsi="Verdana"/>
                <w:bCs/>
              </w:rPr>
              <w:t xml:space="preserve">Keytruda </w:t>
            </w:r>
            <w:proofErr w:type="spellStart"/>
            <w:r w:rsidRPr="00413044">
              <w:rPr>
                <w:rFonts w:ascii="Verdana" w:hAnsi="Verdana"/>
                <w:bCs/>
              </w:rPr>
              <w:t>Qlex</w:t>
            </w:r>
            <w:proofErr w:type="spellEnd"/>
            <w:r w:rsidRPr="00413044">
              <w:rPr>
                <w:rFonts w:ascii="Verdana" w:hAnsi="Verdana"/>
                <w:bCs/>
              </w:rPr>
              <w:t xml:space="preserve"> </w:t>
            </w:r>
          </w:p>
          <w:p w14:paraId="24CFF96E" w14:textId="77777777" w:rsidR="00413044" w:rsidRPr="00413044" w:rsidRDefault="00413044" w:rsidP="00D337DA">
            <w:pPr>
              <w:pStyle w:val="ListParagraph"/>
              <w:numPr>
                <w:ilvl w:val="0"/>
                <w:numId w:val="27"/>
              </w:numPr>
              <w:rPr>
                <w:rFonts w:ascii="Verdana" w:hAnsi="Verdana" w:cs="Times New Roman"/>
                <w:bCs/>
              </w:rPr>
            </w:pPr>
            <w:proofErr w:type="spellStart"/>
            <w:r w:rsidRPr="00413044">
              <w:rPr>
                <w:rFonts w:ascii="Verdana" w:hAnsi="Verdana"/>
                <w:bCs/>
              </w:rPr>
              <w:t>Papzimeos</w:t>
            </w:r>
            <w:proofErr w:type="spellEnd"/>
            <w:r w:rsidRPr="00413044">
              <w:rPr>
                <w:rFonts w:ascii="Verdana" w:hAnsi="Verdana"/>
                <w:bCs/>
              </w:rPr>
              <w:t xml:space="preserve"> </w:t>
            </w:r>
          </w:p>
          <w:p w14:paraId="1096147E" w14:textId="59A0B020" w:rsidR="00FB700B" w:rsidRPr="00AB7540" w:rsidRDefault="00FB700B" w:rsidP="00413044">
            <w:pPr>
              <w:pStyle w:val="ListParagraph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</w:tbl>
    <w:p w14:paraId="4396F646" w14:textId="77777777" w:rsidR="004A4967" w:rsidRPr="0008291B" w:rsidRDefault="004A4967" w:rsidP="004A4967">
      <w:pPr>
        <w:rPr>
          <w:rFonts w:ascii="Verdana" w:eastAsia="Times New Roman" w:hAnsi="Verdana" w:cs="Arial"/>
          <w:sz w:val="20"/>
          <w:szCs w:val="20"/>
        </w:rPr>
      </w:pPr>
    </w:p>
    <w:sectPr w:rsidR="004A4967" w:rsidRPr="0008291B" w:rsidSect="00E70EBB">
      <w:headerReference w:type="default" r:id="rId8"/>
      <w:footerReference w:type="default" r:id="rId9"/>
      <w:type w:val="continuous"/>
      <w:pgSz w:w="12240" w:h="15840"/>
      <w:pgMar w:top="720" w:right="720" w:bottom="720" w:left="720" w:header="720" w:footer="706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246F1D" w14:textId="77777777" w:rsidR="001E0B7A" w:rsidRDefault="001E0B7A">
      <w:r>
        <w:separator/>
      </w:r>
    </w:p>
  </w:endnote>
  <w:endnote w:type="continuationSeparator" w:id="0">
    <w:p w14:paraId="00004FC0" w14:textId="77777777" w:rsidR="001E0B7A" w:rsidRDefault="001E0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979736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19AB9F" w14:textId="223CE295" w:rsidR="00E24624" w:rsidRDefault="00E2462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A6F77D4" w14:textId="44197675" w:rsidR="003F1B83" w:rsidRPr="00E24624" w:rsidRDefault="003F1B83" w:rsidP="00E246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3E04DA" w14:textId="77777777" w:rsidR="001E0B7A" w:rsidRDefault="001E0B7A">
      <w:r>
        <w:separator/>
      </w:r>
    </w:p>
  </w:footnote>
  <w:footnote w:type="continuationSeparator" w:id="0">
    <w:p w14:paraId="48C996A1" w14:textId="77777777" w:rsidR="001E0B7A" w:rsidRDefault="001E0B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B51D4" w14:textId="19B38D68" w:rsidR="003F1B83" w:rsidRDefault="003F1B83" w:rsidP="007813ED">
    <w:pPr>
      <w:spacing w:before="24"/>
      <w:ind w:right="-20"/>
      <w:jc w:val="center"/>
      <w:rPr>
        <w:rFonts w:ascii="Verdana" w:hAnsi="Verdana"/>
        <w:b/>
        <w:noProof/>
        <w:sz w:val="28"/>
        <w:szCs w:val="28"/>
      </w:rPr>
    </w:pPr>
    <w:r w:rsidRPr="007813ED">
      <w:rPr>
        <w:rFonts w:ascii="Verdana" w:hAnsi="Verdana"/>
        <w:i/>
        <w:iCs/>
        <w:noProof/>
        <w:color w:val="1F497D"/>
        <w:sz w:val="28"/>
        <w:szCs w:val="28"/>
      </w:rPr>
      <w:drawing>
        <wp:anchor distT="0" distB="0" distL="114300" distR="114300" simplePos="0" relativeHeight="251659264" behindDoc="0" locked="0" layoutInCell="1" allowOverlap="1" wp14:anchorId="435F0FDD" wp14:editId="4F530742">
          <wp:simplePos x="0" y="0"/>
          <wp:positionH relativeFrom="margin">
            <wp:posOffset>-352425</wp:posOffset>
          </wp:positionH>
          <wp:positionV relativeFrom="paragraph">
            <wp:posOffset>-336550</wp:posOffset>
          </wp:positionV>
          <wp:extent cx="1914525" cy="400050"/>
          <wp:effectExtent l="0" t="0" r="9525" b="0"/>
          <wp:wrapNone/>
          <wp:docPr id="1" name="Picture 1" descr="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.pn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4525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95AC958" w14:textId="72BB903A" w:rsidR="003F1B83" w:rsidRPr="00C06728" w:rsidRDefault="00413044" w:rsidP="00080E04">
    <w:pPr>
      <w:spacing w:before="24"/>
      <w:ind w:right="-20"/>
      <w:jc w:val="center"/>
      <w:rPr>
        <w:rFonts w:ascii="Verdana" w:hAnsi="Verdana"/>
        <w:b/>
        <w:noProof/>
        <w:sz w:val="24"/>
        <w:szCs w:val="24"/>
      </w:rPr>
    </w:pPr>
    <w:r>
      <w:rPr>
        <w:rFonts w:ascii="Verdana" w:hAnsi="Verdana"/>
        <w:b/>
        <w:noProof/>
        <w:sz w:val="24"/>
        <w:szCs w:val="24"/>
      </w:rPr>
      <w:t>December</w:t>
    </w:r>
    <w:r w:rsidR="00455328">
      <w:rPr>
        <w:rFonts w:ascii="Verdana" w:hAnsi="Verdana"/>
        <w:b/>
        <w:noProof/>
        <w:sz w:val="24"/>
        <w:szCs w:val="24"/>
      </w:rPr>
      <w:t xml:space="preserve"> 202</w:t>
    </w:r>
    <w:r w:rsidR="00F11DC6">
      <w:rPr>
        <w:rFonts w:ascii="Verdana" w:hAnsi="Verdana"/>
        <w:b/>
        <w:noProof/>
        <w:sz w:val="24"/>
        <w:szCs w:val="24"/>
      </w:rPr>
      <w:t>5</w:t>
    </w:r>
    <w:r w:rsidR="003F1B83" w:rsidRPr="00C06728">
      <w:rPr>
        <w:rFonts w:ascii="Verdana" w:eastAsia="Times New Roman" w:hAnsi="Verdana" w:cs="Times New Roman"/>
        <w:b/>
        <w:bCs/>
        <w:spacing w:val="-1"/>
        <w:sz w:val="24"/>
        <w:szCs w:val="24"/>
      </w:rPr>
      <w:t xml:space="preserve"> Pharmacy &amp; </w:t>
    </w:r>
    <w:r w:rsidR="003F1B83" w:rsidRPr="00C06728">
      <w:rPr>
        <w:rFonts w:ascii="Verdana" w:eastAsia="Times New Roman" w:hAnsi="Verdana" w:cs="Times New Roman"/>
        <w:b/>
        <w:bCs/>
        <w:sz w:val="24"/>
        <w:szCs w:val="24"/>
      </w:rPr>
      <w:t>Therapeutics</w:t>
    </w:r>
  </w:p>
  <w:p w14:paraId="3AEB01D9" w14:textId="19FDB444" w:rsidR="003F1B83" w:rsidRDefault="003F1B83" w:rsidP="007813ED">
    <w:pPr>
      <w:spacing w:before="24"/>
      <w:ind w:right="-20"/>
      <w:jc w:val="center"/>
      <w:rPr>
        <w:rFonts w:ascii="Verdana" w:eastAsia="Times New Roman" w:hAnsi="Verdana" w:cs="Times New Roman"/>
        <w:b/>
        <w:bCs/>
        <w:sz w:val="24"/>
        <w:szCs w:val="24"/>
      </w:rPr>
    </w:pPr>
    <w:r w:rsidRPr="00C06728">
      <w:rPr>
        <w:rFonts w:ascii="Verdana" w:eastAsia="Times New Roman" w:hAnsi="Verdana" w:cs="Times New Roman"/>
        <w:b/>
        <w:bCs/>
        <w:spacing w:val="-2"/>
        <w:sz w:val="24"/>
        <w:szCs w:val="24"/>
      </w:rPr>
      <w:t>C</w:t>
    </w:r>
    <w:r w:rsidRPr="00C06728">
      <w:rPr>
        <w:rFonts w:ascii="Verdana" w:eastAsia="Times New Roman" w:hAnsi="Verdana" w:cs="Times New Roman"/>
        <w:b/>
        <w:bCs/>
        <w:spacing w:val="2"/>
        <w:sz w:val="24"/>
        <w:szCs w:val="24"/>
      </w:rPr>
      <w:t>o</w:t>
    </w:r>
    <w:r w:rsidRPr="00C06728">
      <w:rPr>
        <w:rFonts w:ascii="Verdana" w:eastAsia="Times New Roman" w:hAnsi="Verdana" w:cs="Times New Roman"/>
        <w:b/>
        <w:bCs/>
        <w:spacing w:val="-1"/>
        <w:sz w:val="24"/>
        <w:szCs w:val="24"/>
      </w:rPr>
      <w:t>m</w:t>
    </w:r>
    <w:r w:rsidRPr="00C06728">
      <w:rPr>
        <w:rFonts w:ascii="Verdana" w:eastAsia="Times New Roman" w:hAnsi="Verdana" w:cs="Times New Roman"/>
        <w:b/>
        <w:bCs/>
        <w:spacing w:val="-3"/>
        <w:sz w:val="24"/>
        <w:szCs w:val="24"/>
      </w:rPr>
      <w:t>m</w:t>
    </w:r>
    <w:r w:rsidRPr="00C06728">
      <w:rPr>
        <w:rFonts w:ascii="Verdana" w:eastAsia="Times New Roman" w:hAnsi="Verdana" w:cs="Times New Roman"/>
        <w:b/>
        <w:bCs/>
        <w:spacing w:val="1"/>
        <w:sz w:val="24"/>
        <w:szCs w:val="24"/>
      </w:rPr>
      <w:t>i</w:t>
    </w:r>
    <w:r w:rsidRPr="00C06728">
      <w:rPr>
        <w:rFonts w:ascii="Verdana" w:eastAsia="Times New Roman" w:hAnsi="Verdana" w:cs="Times New Roman"/>
        <w:b/>
        <w:bCs/>
        <w:sz w:val="24"/>
        <w:szCs w:val="24"/>
      </w:rPr>
      <w:t xml:space="preserve">ttee </w:t>
    </w:r>
    <w:r w:rsidRPr="00C06728">
      <w:rPr>
        <w:rFonts w:ascii="Verdana" w:eastAsia="Times New Roman" w:hAnsi="Verdana" w:cs="Times New Roman"/>
        <w:b/>
        <w:bCs/>
        <w:spacing w:val="-1"/>
        <w:sz w:val="24"/>
        <w:szCs w:val="24"/>
      </w:rPr>
      <w:t>D</w:t>
    </w:r>
    <w:r w:rsidRPr="00C06728">
      <w:rPr>
        <w:rFonts w:ascii="Verdana" w:eastAsia="Times New Roman" w:hAnsi="Verdana" w:cs="Times New Roman"/>
        <w:b/>
        <w:bCs/>
        <w:sz w:val="24"/>
        <w:szCs w:val="24"/>
      </w:rPr>
      <w:t>ec</w:t>
    </w:r>
    <w:r w:rsidRPr="00C06728">
      <w:rPr>
        <w:rFonts w:ascii="Verdana" w:eastAsia="Times New Roman" w:hAnsi="Verdana" w:cs="Times New Roman"/>
        <w:b/>
        <w:bCs/>
        <w:spacing w:val="-1"/>
        <w:sz w:val="24"/>
        <w:szCs w:val="24"/>
      </w:rPr>
      <w:t>i</w:t>
    </w:r>
    <w:r w:rsidRPr="00C06728">
      <w:rPr>
        <w:rFonts w:ascii="Verdana" w:eastAsia="Times New Roman" w:hAnsi="Verdana" w:cs="Times New Roman"/>
        <w:b/>
        <w:bCs/>
        <w:spacing w:val="1"/>
        <w:sz w:val="24"/>
        <w:szCs w:val="24"/>
      </w:rPr>
      <w:t>s</w:t>
    </w:r>
    <w:r w:rsidRPr="00C06728">
      <w:rPr>
        <w:rFonts w:ascii="Verdana" w:eastAsia="Times New Roman" w:hAnsi="Verdana" w:cs="Times New Roman"/>
        <w:b/>
        <w:bCs/>
        <w:spacing w:val="-1"/>
        <w:sz w:val="24"/>
        <w:szCs w:val="24"/>
      </w:rPr>
      <w:t>i</w:t>
    </w:r>
    <w:r w:rsidRPr="00C06728">
      <w:rPr>
        <w:rFonts w:ascii="Verdana" w:eastAsia="Times New Roman" w:hAnsi="Verdana" w:cs="Times New Roman"/>
        <w:b/>
        <w:bCs/>
        <w:spacing w:val="1"/>
        <w:sz w:val="24"/>
        <w:szCs w:val="24"/>
      </w:rPr>
      <w:t>o</w:t>
    </w:r>
    <w:r w:rsidRPr="00C06728">
      <w:rPr>
        <w:rFonts w:ascii="Verdana" w:eastAsia="Times New Roman" w:hAnsi="Verdana" w:cs="Times New Roman"/>
        <w:b/>
        <w:bCs/>
        <w:spacing w:val="-3"/>
        <w:sz w:val="24"/>
        <w:szCs w:val="24"/>
      </w:rPr>
      <w:t>n</w:t>
    </w:r>
    <w:r w:rsidRPr="00C06728">
      <w:rPr>
        <w:rFonts w:ascii="Verdana" w:eastAsia="Times New Roman" w:hAnsi="Verdana" w:cs="Times New Roman"/>
        <w:b/>
        <w:bCs/>
        <w:sz w:val="24"/>
        <w:szCs w:val="24"/>
      </w:rPr>
      <w:t>s</w:t>
    </w:r>
  </w:p>
  <w:p w14:paraId="34F965A0" w14:textId="77777777" w:rsidR="005D7E74" w:rsidRDefault="005D7E74" w:rsidP="007813ED">
    <w:pPr>
      <w:spacing w:before="24"/>
      <w:ind w:right="-20"/>
      <w:jc w:val="center"/>
      <w:rPr>
        <w:rFonts w:ascii="Verdana" w:eastAsia="Times New Roman" w:hAnsi="Verdana" w:cs="Times New Roman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C41C6"/>
    <w:multiLevelType w:val="hybridMultilevel"/>
    <w:tmpl w:val="F64088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9032EC"/>
    <w:multiLevelType w:val="hybridMultilevel"/>
    <w:tmpl w:val="68F85D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0D6A66"/>
    <w:multiLevelType w:val="hybridMultilevel"/>
    <w:tmpl w:val="34D8C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417E23"/>
    <w:multiLevelType w:val="hybridMultilevel"/>
    <w:tmpl w:val="CF660648"/>
    <w:lvl w:ilvl="0" w:tplc="9994303E">
      <w:numFmt w:val="bullet"/>
      <w:lvlText w:val="-"/>
      <w:lvlJc w:val="left"/>
      <w:pPr>
        <w:ind w:left="435" w:hanging="360"/>
      </w:pPr>
      <w:rPr>
        <w:rFonts w:ascii="Verdana" w:eastAsiaTheme="minorHAnsi" w:hAnsi="Verdan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1376BE"/>
    <w:multiLevelType w:val="hybridMultilevel"/>
    <w:tmpl w:val="3F1C61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5F4BCF"/>
    <w:multiLevelType w:val="hybridMultilevel"/>
    <w:tmpl w:val="164E22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AA2C06"/>
    <w:multiLevelType w:val="hybridMultilevel"/>
    <w:tmpl w:val="24FC34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104331"/>
    <w:multiLevelType w:val="hybridMultilevel"/>
    <w:tmpl w:val="0A221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44449C"/>
    <w:multiLevelType w:val="hybridMultilevel"/>
    <w:tmpl w:val="3A4A8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9E7BD8"/>
    <w:multiLevelType w:val="hybridMultilevel"/>
    <w:tmpl w:val="6784D2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9E7C42"/>
    <w:multiLevelType w:val="hybridMultilevel"/>
    <w:tmpl w:val="9E0E1B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4935C1"/>
    <w:multiLevelType w:val="hybridMultilevel"/>
    <w:tmpl w:val="B9046FD0"/>
    <w:lvl w:ilvl="0" w:tplc="6D0262E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D835DF"/>
    <w:multiLevelType w:val="hybridMultilevel"/>
    <w:tmpl w:val="BA2EE8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696192"/>
    <w:multiLevelType w:val="hybridMultilevel"/>
    <w:tmpl w:val="C0C49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28522D"/>
    <w:multiLevelType w:val="hybridMultilevel"/>
    <w:tmpl w:val="C242F7C8"/>
    <w:lvl w:ilvl="0" w:tplc="76FC13C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7EEDFC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930BE0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6BC9B1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FA2D2F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08A1A5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DCCC4F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472F97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02EBB4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 w15:restartNumberingAfterBreak="0">
    <w:nsid w:val="5248511A"/>
    <w:multiLevelType w:val="hybridMultilevel"/>
    <w:tmpl w:val="347E53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192DCC"/>
    <w:multiLevelType w:val="hybridMultilevel"/>
    <w:tmpl w:val="2A4285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5D6BC1"/>
    <w:multiLevelType w:val="hybridMultilevel"/>
    <w:tmpl w:val="512A17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7C507C"/>
    <w:multiLevelType w:val="hybridMultilevel"/>
    <w:tmpl w:val="D49E3F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F14A70"/>
    <w:multiLevelType w:val="hybridMultilevel"/>
    <w:tmpl w:val="0D6C3062"/>
    <w:lvl w:ilvl="0" w:tplc="9994303E">
      <w:numFmt w:val="bullet"/>
      <w:lvlText w:val="-"/>
      <w:lvlJc w:val="left"/>
      <w:pPr>
        <w:ind w:left="435" w:hanging="360"/>
      </w:pPr>
      <w:rPr>
        <w:rFonts w:ascii="Verdana" w:eastAsiaTheme="minorHAnsi" w:hAnsi="Verdan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0" w15:restartNumberingAfterBreak="0">
    <w:nsid w:val="628B3463"/>
    <w:multiLevelType w:val="hybridMultilevel"/>
    <w:tmpl w:val="0116FED6"/>
    <w:lvl w:ilvl="0" w:tplc="9994303E">
      <w:numFmt w:val="bullet"/>
      <w:lvlText w:val="-"/>
      <w:lvlJc w:val="left"/>
      <w:pPr>
        <w:ind w:left="435" w:hanging="360"/>
      </w:pPr>
      <w:rPr>
        <w:rFonts w:ascii="Verdana" w:eastAsiaTheme="minorHAnsi" w:hAnsi="Verdan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7412A8"/>
    <w:multiLevelType w:val="hybridMultilevel"/>
    <w:tmpl w:val="438236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764065"/>
    <w:multiLevelType w:val="hybridMultilevel"/>
    <w:tmpl w:val="1F50C03C"/>
    <w:lvl w:ilvl="0" w:tplc="DF3CB18E">
      <w:start w:val="1"/>
      <w:numFmt w:val="decimal"/>
      <w:suff w:val="nothing"/>
      <w:lvlText w:val="%1."/>
      <w:lvlJc w:val="left"/>
      <w:pPr>
        <w:ind w:left="0" w:firstLine="72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1350" w:hanging="18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63272A"/>
    <w:multiLevelType w:val="hybridMultilevel"/>
    <w:tmpl w:val="7122C8E2"/>
    <w:lvl w:ilvl="0" w:tplc="04090001">
      <w:start w:val="1"/>
      <w:numFmt w:val="bullet"/>
      <w:lvlText w:val=""/>
      <w:lvlJc w:val="left"/>
      <w:pPr>
        <w:ind w:left="12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9" w:hanging="360"/>
      </w:pPr>
      <w:rPr>
        <w:rFonts w:ascii="Wingdings" w:hAnsi="Wingdings" w:hint="default"/>
      </w:rPr>
    </w:lvl>
  </w:abstractNum>
  <w:abstractNum w:abstractNumId="24" w15:restartNumberingAfterBreak="0">
    <w:nsid w:val="6F2106AB"/>
    <w:multiLevelType w:val="hybridMultilevel"/>
    <w:tmpl w:val="D6C61E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E81CA9"/>
    <w:multiLevelType w:val="hybridMultilevel"/>
    <w:tmpl w:val="706673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E749E3"/>
    <w:multiLevelType w:val="hybridMultilevel"/>
    <w:tmpl w:val="C4FEFC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1700779">
    <w:abstractNumId w:val="21"/>
  </w:num>
  <w:num w:numId="2" w16cid:durableId="1978099830">
    <w:abstractNumId w:val="23"/>
  </w:num>
  <w:num w:numId="3" w16cid:durableId="1002123467">
    <w:abstractNumId w:val="9"/>
  </w:num>
  <w:num w:numId="4" w16cid:durableId="32199846">
    <w:abstractNumId w:val="1"/>
  </w:num>
  <w:num w:numId="5" w16cid:durableId="197477088">
    <w:abstractNumId w:val="7"/>
  </w:num>
  <w:num w:numId="6" w16cid:durableId="1379547306">
    <w:abstractNumId w:val="15"/>
  </w:num>
  <w:num w:numId="7" w16cid:durableId="919951421">
    <w:abstractNumId w:val="8"/>
  </w:num>
  <w:num w:numId="8" w16cid:durableId="63340024">
    <w:abstractNumId w:val="6"/>
  </w:num>
  <w:num w:numId="9" w16cid:durableId="219295041">
    <w:abstractNumId w:val="11"/>
  </w:num>
  <w:num w:numId="10" w16cid:durableId="1379088175">
    <w:abstractNumId w:val="17"/>
  </w:num>
  <w:num w:numId="11" w16cid:durableId="1358458559">
    <w:abstractNumId w:val="26"/>
  </w:num>
  <w:num w:numId="12" w16cid:durableId="832255705">
    <w:abstractNumId w:val="5"/>
  </w:num>
  <w:num w:numId="13" w16cid:durableId="1048648586">
    <w:abstractNumId w:val="19"/>
  </w:num>
  <w:num w:numId="14" w16cid:durableId="865485552">
    <w:abstractNumId w:val="20"/>
  </w:num>
  <w:num w:numId="15" w16cid:durableId="40174074">
    <w:abstractNumId w:val="3"/>
  </w:num>
  <w:num w:numId="16" w16cid:durableId="816722650">
    <w:abstractNumId w:val="0"/>
  </w:num>
  <w:num w:numId="17" w16cid:durableId="345718672">
    <w:abstractNumId w:val="13"/>
  </w:num>
  <w:num w:numId="18" w16cid:durableId="1082531695">
    <w:abstractNumId w:val="18"/>
  </w:num>
  <w:num w:numId="19" w16cid:durableId="1500077621">
    <w:abstractNumId w:val="2"/>
  </w:num>
  <w:num w:numId="20" w16cid:durableId="1599602900">
    <w:abstractNumId w:val="12"/>
  </w:num>
  <w:num w:numId="21" w16cid:durableId="1137836206">
    <w:abstractNumId w:val="25"/>
  </w:num>
  <w:num w:numId="22" w16cid:durableId="1030061509">
    <w:abstractNumId w:val="24"/>
  </w:num>
  <w:num w:numId="23" w16cid:durableId="753742264">
    <w:abstractNumId w:val="10"/>
  </w:num>
  <w:num w:numId="24" w16cid:durableId="1871331762">
    <w:abstractNumId w:val="22"/>
  </w:num>
  <w:num w:numId="25" w16cid:durableId="1879584921">
    <w:abstractNumId w:val="4"/>
  </w:num>
  <w:num w:numId="26" w16cid:durableId="2136289971">
    <w:abstractNumId w:val="14"/>
  </w:num>
  <w:num w:numId="27" w16cid:durableId="46262295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0547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176F"/>
    <w:rsid w:val="00001331"/>
    <w:rsid w:val="0000536E"/>
    <w:rsid w:val="0000785E"/>
    <w:rsid w:val="00013B7E"/>
    <w:rsid w:val="00015A48"/>
    <w:rsid w:val="00021C33"/>
    <w:rsid w:val="0002693E"/>
    <w:rsid w:val="000276E5"/>
    <w:rsid w:val="00027B5D"/>
    <w:rsid w:val="0003103B"/>
    <w:rsid w:val="00041EE0"/>
    <w:rsid w:val="00042572"/>
    <w:rsid w:val="0005112F"/>
    <w:rsid w:val="0005632B"/>
    <w:rsid w:val="00062D9B"/>
    <w:rsid w:val="00072DE3"/>
    <w:rsid w:val="00075402"/>
    <w:rsid w:val="000762F7"/>
    <w:rsid w:val="00077220"/>
    <w:rsid w:val="00080E04"/>
    <w:rsid w:val="00081CCE"/>
    <w:rsid w:val="0008291B"/>
    <w:rsid w:val="0008523F"/>
    <w:rsid w:val="000863CE"/>
    <w:rsid w:val="00090CB6"/>
    <w:rsid w:val="000A29D3"/>
    <w:rsid w:val="000A3A58"/>
    <w:rsid w:val="000A6E31"/>
    <w:rsid w:val="000A6FA0"/>
    <w:rsid w:val="000B1E4B"/>
    <w:rsid w:val="000B377F"/>
    <w:rsid w:val="000B6BBD"/>
    <w:rsid w:val="000C0DF2"/>
    <w:rsid w:val="000C1AED"/>
    <w:rsid w:val="000C5531"/>
    <w:rsid w:val="000C6EF5"/>
    <w:rsid w:val="000D701C"/>
    <w:rsid w:val="000E3555"/>
    <w:rsid w:val="000E718C"/>
    <w:rsid w:val="000E7E43"/>
    <w:rsid w:val="000F3657"/>
    <w:rsid w:val="00103223"/>
    <w:rsid w:val="001038DE"/>
    <w:rsid w:val="00111747"/>
    <w:rsid w:val="00113BFC"/>
    <w:rsid w:val="00123683"/>
    <w:rsid w:val="00123A36"/>
    <w:rsid w:val="00153FC2"/>
    <w:rsid w:val="00154175"/>
    <w:rsid w:val="00166739"/>
    <w:rsid w:val="0016796B"/>
    <w:rsid w:val="001679C6"/>
    <w:rsid w:val="001737B3"/>
    <w:rsid w:val="00173929"/>
    <w:rsid w:val="00174C58"/>
    <w:rsid w:val="001762D1"/>
    <w:rsid w:val="001773F9"/>
    <w:rsid w:val="00181BB5"/>
    <w:rsid w:val="001877A4"/>
    <w:rsid w:val="001A5644"/>
    <w:rsid w:val="001A7D1B"/>
    <w:rsid w:val="001B05E8"/>
    <w:rsid w:val="001B671E"/>
    <w:rsid w:val="001B70F1"/>
    <w:rsid w:val="001C0339"/>
    <w:rsid w:val="001C4424"/>
    <w:rsid w:val="001C6A3A"/>
    <w:rsid w:val="001D1C4F"/>
    <w:rsid w:val="001D6265"/>
    <w:rsid w:val="001E0B7A"/>
    <w:rsid w:val="001E24D2"/>
    <w:rsid w:val="001E373C"/>
    <w:rsid w:val="001E756A"/>
    <w:rsid w:val="001F115A"/>
    <w:rsid w:val="001F15E8"/>
    <w:rsid w:val="00200C5D"/>
    <w:rsid w:val="0020307C"/>
    <w:rsid w:val="00217B3A"/>
    <w:rsid w:val="00222189"/>
    <w:rsid w:val="00224305"/>
    <w:rsid w:val="002248EA"/>
    <w:rsid w:val="00227DA7"/>
    <w:rsid w:val="0023110B"/>
    <w:rsid w:val="00240902"/>
    <w:rsid w:val="002530EB"/>
    <w:rsid w:val="00254712"/>
    <w:rsid w:val="00255A16"/>
    <w:rsid w:val="00263AA5"/>
    <w:rsid w:val="00276D88"/>
    <w:rsid w:val="002776D4"/>
    <w:rsid w:val="00282F97"/>
    <w:rsid w:val="00286B01"/>
    <w:rsid w:val="00287036"/>
    <w:rsid w:val="00291916"/>
    <w:rsid w:val="00296E12"/>
    <w:rsid w:val="00296EF6"/>
    <w:rsid w:val="002A5AA8"/>
    <w:rsid w:val="002B26A4"/>
    <w:rsid w:val="002B3F56"/>
    <w:rsid w:val="002C7005"/>
    <w:rsid w:val="002D282C"/>
    <w:rsid w:val="002E3600"/>
    <w:rsid w:val="002E4598"/>
    <w:rsid w:val="00300359"/>
    <w:rsid w:val="00303B44"/>
    <w:rsid w:val="0030564B"/>
    <w:rsid w:val="0031220E"/>
    <w:rsid w:val="0031642B"/>
    <w:rsid w:val="003167C3"/>
    <w:rsid w:val="00320E7E"/>
    <w:rsid w:val="0032109D"/>
    <w:rsid w:val="00326070"/>
    <w:rsid w:val="00330E7F"/>
    <w:rsid w:val="0033413B"/>
    <w:rsid w:val="003357F7"/>
    <w:rsid w:val="00342BF8"/>
    <w:rsid w:val="00347603"/>
    <w:rsid w:val="00347888"/>
    <w:rsid w:val="00350CBF"/>
    <w:rsid w:val="00352182"/>
    <w:rsid w:val="00357691"/>
    <w:rsid w:val="003628BE"/>
    <w:rsid w:val="003637F1"/>
    <w:rsid w:val="00365381"/>
    <w:rsid w:val="003718D1"/>
    <w:rsid w:val="00374925"/>
    <w:rsid w:val="0037536D"/>
    <w:rsid w:val="0037686F"/>
    <w:rsid w:val="00376CD6"/>
    <w:rsid w:val="00377322"/>
    <w:rsid w:val="0038015B"/>
    <w:rsid w:val="003847EC"/>
    <w:rsid w:val="00393788"/>
    <w:rsid w:val="00393F0F"/>
    <w:rsid w:val="003A2BC8"/>
    <w:rsid w:val="003A2FBC"/>
    <w:rsid w:val="003B6BD2"/>
    <w:rsid w:val="003C216A"/>
    <w:rsid w:val="003C30B6"/>
    <w:rsid w:val="003C4DD7"/>
    <w:rsid w:val="003D089B"/>
    <w:rsid w:val="003D0A4A"/>
    <w:rsid w:val="003E5867"/>
    <w:rsid w:val="003F1B83"/>
    <w:rsid w:val="003F605C"/>
    <w:rsid w:val="00400E1D"/>
    <w:rsid w:val="00405517"/>
    <w:rsid w:val="00407397"/>
    <w:rsid w:val="00411EE3"/>
    <w:rsid w:val="00413044"/>
    <w:rsid w:val="004178F5"/>
    <w:rsid w:val="004265F7"/>
    <w:rsid w:val="00440BB7"/>
    <w:rsid w:val="0044162D"/>
    <w:rsid w:val="004430D3"/>
    <w:rsid w:val="00443AD2"/>
    <w:rsid w:val="00443D2D"/>
    <w:rsid w:val="00443FD7"/>
    <w:rsid w:val="004471A0"/>
    <w:rsid w:val="00453C40"/>
    <w:rsid w:val="00455328"/>
    <w:rsid w:val="00455724"/>
    <w:rsid w:val="0045729E"/>
    <w:rsid w:val="00460EDB"/>
    <w:rsid w:val="00463796"/>
    <w:rsid w:val="00474F55"/>
    <w:rsid w:val="004878FB"/>
    <w:rsid w:val="0049166B"/>
    <w:rsid w:val="004934D4"/>
    <w:rsid w:val="004971A5"/>
    <w:rsid w:val="004A3F96"/>
    <w:rsid w:val="004A4967"/>
    <w:rsid w:val="004B468F"/>
    <w:rsid w:val="004B4A2D"/>
    <w:rsid w:val="004B5320"/>
    <w:rsid w:val="004B7440"/>
    <w:rsid w:val="004C1325"/>
    <w:rsid w:val="004C1625"/>
    <w:rsid w:val="004C1E77"/>
    <w:rsid w:val="004C5F89"/>
    <w:rsid w:val="004C78BE"/>
    <w:rsid w:val="004D093E"/>
    <w:rsid w:val="004D176F"/>
    <w:rsid w:val="004D5183"/>
    <w:rsid w:val="004D6922"/>
    <w:rsid w:val="004E6FF6"/>
    <w:rsid w:val="004F2F90"/>
    <w:rsid w:val="004F5834"/>
    <w:rsid w:val="004F7C78"/>
    <w:rsid w:val="00501F1C"/>
    <w:rsid w:val="00507646"/>
    <w:rsid w:val="00511917"/>
    <w:rsid w:val="00523363"/>
    <w:rsid w:val="005247AA"/>
    <w:rsid w:val="0053124A"/>
    <w:rsid w:val="005471DD"/>
    <w:rsid w:val="00552179"/>
    <w:rsid w:val="005607E2"/>
    <w:rsid w:val="00567170"/>
    <w:rsid w:val="00570471"/>
    <w:rsid w:val="00574A06"/>
    <w:rsid w:val="00583068"/>
    <w:rsid w:val="005842E0"/>
    <w:rsid w:val="005919AE"/>
    <w:rsid w:val="005923D0"/>
    <w:rsid w:val="00595206"/>
    <w:rsid w:val="00596B6A"/>
    <w:rsid w:val="005A0F54"/>
    <w:rsid w:val="005A4597"/>
    <w:rsid w:val="005A54CD"/>
    <w:rsid w:val="005A5771"/>
    <w:rsid w:val="005A7171"/>
    <w:rsid w:val="005B07DA"/>
    <w:rsid w:val="005B6F69"/>
    <w:rsid w:val="005C2E2A"/>
    <w:rsid w:val="005C6C17"/>
    <w:rsid w:val="005C7E4C"/>
    <w:rsid w:val="005D02FA"/>
    <w:rsid w:val="005D0AD5"/>
    <w:rsid w:val="005D5A8C"/>
    <w:rsid w:val="005D7E74"/>
    <w:rsid w:val="005E2989"/>
    <w:rsid w:val="005E716D"/>
    <w:rsid w:val="005E7889"/>
    <w:rsid w:val="005F2A5F"/>
    <w:rsid w:val="005F3EFF"/>
    <w:rsid w:val="0060264F"/>
    <w:rsid w:val="0062160D"/>
    <w:rsid w:val="006223BC"/>
    <w:rsid w:val="00630D15"/>
    <w:rsid w:val="00631DE6"/>
    <w:rsid w:val="006324B9"/>
    <w:rsid w:val="00632618"/>
    <w:rsid w:val="0063466E"/>
    <w:rsid w:val="0063560A"/>
    <w:rsid w:val="0063773D"/>
    <w:rsid w:val="006411FC"/>
    <w:rsid w:val="00644FCA"/>
    <w:rsid w:val="00646B34"/>
    <w:rsid w:val="00647476"/>
    <w:rsid w:val="00651BDB"/>
    <w:rsid w:val="00651F73"/>
    <w:rsid w:val="00653C33"/>
    <w:rsid w:val="00654666"/>
    <w:rsid w:val="006547A2"/>
    <w:rsid w:val="0065705C"/>
    <w:rsid w:val="006623BA"/>
    <w:rsid w:val="0066383F"/>
    <w:rsid w:val="006678A7"/>
    <w:rsid w:val="00670D60"/>
    <w:rsid w:val="00672217"/>
    <w:rsid w:val="006732A8"/>
    <w:rsid w:val="006746EE"/>
    <w:rsid w:val="0067500A"/>
    <w:rsid w:val="006804D8"/>
    <w:rsid w:val="00684C33"/>
    <w:rsid w:val="00690B16"/>
    <w:rsid w:val="006935BF"/>
    <w:rsid w:val="0069703B"/>
    <w:rsid w:val="006977BA"/>
    <w:rsid w:val="006A5737"/>
    <w:rsid w:val="006B16C1"/>
    <w:rsid w:val="006C5E4A"/>
    <w:rsid w:val="006C6F0C"/>
    <w:rsid w:val="006D3FF4"/>
    <w:rsid w:val="006E7EE6"/>
    <w:rsid w:val="006F3BD7"/>
    <w:rsid w:val="006F62E8"/>
    <w:rsid w:val="007010BB"/>
    <w:rsid w:val="007044D6"/>
    <w:rsid w:val="00705890"/>
    <w:rsid w:val="00710E9D"/>
    <w:rsid w:val="00723809"/>
    <w:rsid w:val="0073440C"/>
    <w:rsid w:val="0073594F"/>
    <w:rsid w:val="00741038"/>
    <w:rsid w:val="00746B73"/>
    <w:rsid w:val="00752274"/>
    <w:rsid w:val="007523CA"/>
    <w:rsid w:val="00755911"/>
    <w:rsid w:val="007575C7"/>
    <w:rsid w:val="00760FBC"/>
    <w:rsid w:val="00761F43"/>
    <w:rsid w:val="00762CBA"/>
    <w:rsid w:val="00764303"/>
    <w:rsid w:val="00765246"/>
    <w:rsid w:val="00766DC0"/>
    <w:rsid w:val="00776016"/>
    <w:rsid w:val="007813ED"/>
    <w:rsid w:val="00791941"/>
    <w:rsid w:val="007977D3"/>
    <w:rsid w:val="007A2D68"/>
    <w:rsid w:val="007A2E41"/>
    <w:rsid w:val="007A586C"/>
    <w:rsid w:val="007A7913"/>
    <w:rsid w:val="007A7E74"/>
    <w:rsid w:val="007C152F"/>
    <w:rsid w:val="007D11A0"/>
    <w:rsid w:val="007D1D6A"/>
    <w:rsid w:val="007D3B4E"/>
    <w:rsid w:val="007D59EC"/>
    <w:rsid w:val="007D7099"/>
    <w:rsid w:val="007D7F52"/>
    <w:rsid w:val="007E2C73"/>
    <w:rsid w:val="007E4E57"/>
    <w:rsid w:val="007F3F30"/>
    <w:rsid w:val="007F4708"/>
    <w:rsid w:val="007F475C"/>
    <w:rsid w:val="007F5D21"/>
    <w:rsid w:val="00810A35"/>
    <w:rsid w:val="0081196F"/>
    <w:rsid w:val="008146C0"/>
    <w:rsid w:val="00814D6B"/>
    <w:rsid w:val="00814EE1"/>
    <w:rsid w:val="00820934"/>
    <w:rsid w:val="00822707"/>
    <w:rsid w:val="008238AB"/>
    <w:rsid w:val="00832DF6"/>
    <w:rsid w:val="00832EB0"/>
    <w:rsid w:val="00837406"/>
    <w:rsid w:val="00843F92"/>
    <w:rsid w:val="00844266"/>
    <w:rsid w:val="00844806"/>
    <w:rsid w:val="00852F8C"/>
    <w:rsid w:val="00854C16"/>
    <w:rsid w:val="008615D7"/>
    <w:rsid w:val="0086202F"/>
    <w:rsid w:val="00870C50"/>
    <w:rsid w:val="00873F95"/>
    <w:rsid w:val="008747E1"/>
    <w:rsid w:val="00875379"/>
    <w:rsid w:val="00876AB4"/>
    <w:rsid w:val="00876EFE"/>
    <w:rsid w:val="00876F27"/>
    <w:rsid w:val="00886C6D"/>
    <w:rsid w:val="00886F40"/>
    <w:rsid w:val="008907FC"/>
    <w:rsid w:val="0089593C"/>
    <w:rsid w:val="008A03E8"/>
    <w:rsid w:val="008A0EE4"/>
    <w:rsid w:val="008A3424"/>
    <w:rsid w:val="008B1C3E"/>
    <w:rsid w:val="008B2543"/>
    <w:rsid w:val="008B2789"/>
    <w:rsid w:val="008D2E75"/>
    <w:rsid w:val="008D34C4"/>
    <w:rsid w:val="008D566F"/>
    <w:rsid w:val="008E2C56"/>
    <w:rsid w:val="008E332C"/>
    <w:rsid w:val="008E4E86"/>
    <w:rsid w:val="008E57B6"/>
    <w:rsid w:val="008F2FB5"/>
    <w:rsid w:val="008F582F"/>
    <w:rsid w:val="00901C99"/>
    <w:rsid w:val="00901F72"/>
    <w:rsid w:val="00906017"/>
    <w:rsid w:val="00911CE5"/>
    <w:rsid w:val="00911DEB"/>
    <w:rsid w:val="00914400"/>
    <w:rsid w:val="00914747"/>
    <w:rsid w:val="0091573D"/>
    <w:rsid w:val="00920315"/>
    <w:rsid w:val="00934B10"/>
    <w:rsid w:val="00941DB4"/>
    <w:rsid w:val="0095205D"/>
    <w:rsid w:val="00956AB9"/>
    <w:rsid w:val="00964238"/>
    <w:rsid w:val="009645C1"/>
    <w:rsid w:val="00970958"/>
    <w:rsid w:val="00970C72"/>
    <w:rsid w:val="00970FE4"/>
    <w:rsid w:val="00972555"/>
    <w:rsid w:val="0097530B"/>
    <w:rsid w:val="00975A46"/>
    <w:rsid w:val="00976ECF"/>
    <w:rsid w:val="0098015B"/>
    <w:rsid w:val="009927A3"/>
    <w:rsid w:val="0099506A"/>
    <w:rsid w:val="00995073"/>
    <w:rsid w:val="009971E1"/>
    <w:rsid w:val="009A191A"/>
    <w:rsid w:val="009A327F"/>
    <w:rsid w:val="009C12CD"/>
    <w:rsid w:val="009C2659"/>
    <w:rsid w:val="009D3869"/>
    <w:rsid w:val="009E4205"/>
    <w:rsid w:val="009F5282"/>
    <w:rsid w:val="009F5B06"/>
    <w:rsid w:val="00A005B8"/>
    <w:rsid w:val="00A02DD7"/>
    <w:rsid w:val="00A05F99"/>
    <w:rsid w:val="00A07721"/>
    <w:rsid w:val="00A12D85"/>
    <w:rsid w:val="00A1528B"/>
    <w:rsid w:val="00A164C4"/>
    <w:rsid w:val="00A201AE"/>
    <w:rsid w:val="00A22479"/>
    <w:rsid w:val="00A237A9"/>
    <w:rsid w:val="00A24C6C"/>
    <w:rsid w:val="00A30660"/>
    <w:rsid w:val="00A356E9"/>
    <w:rsid w:val="00A4706E"/>
    <w:rsid w:val="00A47147"/>
    <w:rsid w:val="00A54A60"/>
    <w:rsid w:val="00A640AB"/>
    <w:rsid w:val="00A66B54"/>
    <w:rsid w:val="00A829B7"/>
    <w:rsid w:val="00A82C92"/>
    <w:rsid w:val="00A84469"/>
    <w:rsid w:val="00A92595"/>
    <w:rsid w:val="00AA2672"/>
    <w:rsid w:val="00AA31FF"/>
    <w:rsid w:val="00AB0E4C"/>
    <w:rsid w:val="00AB1450"/>
    <w:rsid w:val="00AB22E9"/>
    <w:rsid w:val="00AB6C97"/>
    <w:rsid w:val="00AB7540"/>
    <w:rsid w:val="00AC4968"/>
    <w:rsid w:val="00AD0D0C"/>
    <w:rsid w:val="00AD28A5"/>
    <w:rsid w:val="00AD333B"/>
    <w:rsid w:val="00AD34C7"/>
    <w:rsid w:val="00AD4610"/>
    <w:rsid w:val="00AD66FA"/>
    <w:rsid w:val="00AE1D31"/>
    <w:rsid w:val="00AE6351"/>
    <w:rsid w:val="00AE79B0"/>
    <w:rsid w:val="00AF0175"/>
    <w:rsid w:val="00AF03AD"/>
    <w:rsid w:val="00AF18FE"/>
    <w:rsid w:val="00AF2228"/>
    <w:rsid w:val="00AF3556"/>
    <w:rsid w:val="00AF502D"/>
    <w:rsid w:val="00B15806"/>
    <w:rsid w:val="00B26334"/>
    <w:rsid w:val="00B341E2"/>
    <w:rsid w:val="00B42D27"/>
    <w:rsid w:val="00B452FC"/>
    <w:rsid w:val="00B45B7C"/>
    <w:rsid w:val="00B53640"/>
    <w:rsid w:val="00B54FDE"/>
    <w:rsid w:val="00B552FE"/>
    <w:rsid w:val="00B727CC"/>
    <w:rsid w:val="00B76A29"/>
    <w:rsid w:val="00B80CEA"/>
    <w:rsid w:val="00B81F89"/>
    <w:rsid w:val="00B91F98"/>
    <w:rsid w:val="00B96566"/>
    <w:rsid w:val="00B969C8"/>
    <w:rsid w:val="00BA476A"/>
    <w:rsid w:val="00BA5EBF"/>
    <w:rsid w:val="00BA65CE"/>
    <w:rsid w:val="00BA6D19"/>
    <w:rsid w:val="00BA7E1A"/>
    <w:rsid w:val="00BB0BF1"/>
    <w:rsid w:val="00BB0FE6"/>
    <w:rsid w:val="00BB3847"/>
    <w:rsid w:val="00BB3E10"/>
    <w:rsid w:val="00BB7425"/>
    <w:rsid w:val="00BC0998"/>
    <w:rsid w:val="00BD0499"/>
    <w:rsid w:val="00BD0C1E"/>
    <w:rsid w:val="00BD1D0F"/>
    <w:rsid w:val="00BD4764"/>
    <w:rsid w:val="00BE479A"/>
    <w:rsid w:val="00BE6EB6"/>
    <w:rsid w:val="00C0196F"/>
    <w:rsid w:val="00C06728"/>
    <w:rsid w:val="00C10694"/>
    <w:rsid w:val="00C119D2"/>
    <w:rsid w:val="00C11ADE"/>
    <w:rsid w:val="00C22D05"/>
    <w:rsid w:val="00C2794E"/>
    <w:rsid w:val="00C3217C"/>
    <w:rsid w:val="00C32D5D"/>
    <w:rsid w:val="00C36463"/>
    <w:rsid w:val="00C45D79"/>
    <w:rsid w:val="00C534D5"/>
    <w:rsid w:val="00C53605"/>
    <w:rsid w:val="00C56DA1"/>
    <w:rsid w:val="00C625FE"/>
    <w:rsid w:val="00C83FC4"/>
    <w:rsid w:val="00C908F5"/>
    <w:rsid w:val="00CA4C87"/>
    <w:rsid w:val="00CB1165"/>
    <w:rsid w:val="00CB7322"/>
    <w:rsid w:val="00CD33D9"/>
    <w:rsid w:val="00CD7CCD"/>
    <w:rsid w:val="00CE6933"/>
    <w:rsid w:val="00CF0AE6"/>
    <w:rsid w:val="00CF20AC"/>
    <w:rsid w:val="00CF3528"/>
    <w:rsid w:val="00D0156A"/>
    <w:rsid w:val="00D04062"/>
    <w:rsid w:val="00D05CEA"/>
    <w:rsid w:val="00D06B4E"/>
    <w:rsid w:val="00D149B9"/>
    <w:rsid w:val="00D20342"/>
    <w:rsid w:val="00D209F3"/>
    <w:rsid w:val="00D21FA9"/>
    <w:rsid w:val="00D2576D"/>
    <w:rsid w:val="00D26979"/>
    <w:rsid w:val="00D3175B"/>
    <w:rsid w:val="00D337DA"/>
    <w:rsid w:val="00D358CA"/>
    <w:rsid w:val="00D4079E"/>
    <w:rsid w:val="00D46781"/>
    <w:rsid w:val="00D46C3A"/>
    <w:rsid w:val="00D476D1"/>
    <w:rsid w:val="00D5135F"/>
    <w:rsid w:val="00D57D61"/>
    <w:rsid w:val="00D633E8"/>
    <w:rsid w:val="00D80B16"/>
    <w:rsid w:val="00D84EC6"/>
    <w:rsid w:val="00D877F3"/>
    <w:rsid w:val="00D9015D"/>
    <w:rsid w:val="00DA2B74"/>
    <w:rsid w:val="00DA3259"/>
    <w:rsid w:val="00DB5D81"/>
    <w:rsid w:val="00DB6129"/>
    <w:rsid w:val="00DB76EA"/>
    <w:rsid w:val="00DC189A"/>
    <w:rsid w:val="00DC3D3E"/>
    <w:rsid w:val="00DC7D01"/>
    <w:rsid w:val="00DD7640"/>
    <w:rsid w:val="00DD7DA3"/>
    <w:rsid w:val="00DE063F"/>
    <w:rsid w:val="00DE5649"/>
    <w:rsid w:val="00DF0239"/>
    <w:rsid w:val="00DF3108"/>
    <w:rsid w:val="00E006EC"/>
    <w:rsid w:val="00E013CB"/>
    <w:rsid w:val="00E031F4"/>
    <w:rsid w:val="00E04AAD"/>
    <w:rsid w:val="00E07AE9"/>
    <w:rsid w:val="00E13B43"/>
    <w:rsid w:val="00E15C2F"/>
    <w:rsid w:val="00E174F6"/>
    <w:rsid w:val="00E24624"/>
    <w:rsid w:val="00E319C1"/>
    <w:rsid w:val="00E32DDA"/>
    <w:rsid w:val="00E4366B"/>
    <w:rsid w:val="00E44EED"/>
    <w:rsid w:val="00E46327"/>
    <w:rsid w:val="00E474FD"/>
    <w:rsid w:val="00E54B19"/>
    <w:rsid w:val="00E70EBB"/>
    <w:rsid w:val="00E71DCB"/>
    <w:rsid w:val="00E744C8"/>
    <w:rsid w:val="00E74BF6"/>
    <w:rsid w:val="00E74D63"/>
    <w:rsid w:val="00E7525F"/>
    <w:rsid w:val="00E77836"/>
    <w:rsid w:val="00E8102A"/>
    <w:rsid w:val="00E82183"/>
    <w:rsid w:val="00E8257D"/>
    <w:rsid w:val="00E84053"/>
    <w:rsid w:val="00E841AA"/>
    <w:rsid w:val="00E85C8E"/>
    <w:rsid w:val="00E864E7"/>
    <w:rsid w:val="00E902DB"/>
    <w:rsid w:val="00E91C92"/>
    <w:rsid w:val="00EA0D64"/>
    <w:rsid w:val="00EB661B"/>
    <w:rsid w:val="00EB71D7"/>
    <w:rsid w:val="00EC06CC"/>
    <w:rsid w:val="00EC6614"/>
    <w:rsid w:val="00EC703C"/>
    <w:rsid w:val="00ED2B9A"/>
    <w:rsid w:val="00ED320C"/>
    <w:rsid w:val="00EE322F"/>
    <w:rsid w:val="00EE634E"/>
    <w:rsid w:val="00F003A7"/>
    <w:rsid w:val="00F004BF"/>
    <w:rsid w:val="00F05FFE"/>
    <w:rsid w:val="00F11DC6"/>
    <w:rsid w:val="00F15BF5"/>
    <w:rsid w:val="00F221C6"/>
    <w:rsid w:val="00F24DFC"/>
    <w:rsid w:val="00F31CE2"/>
    <w:rsid w:val="00F4378A"/>
    <w:rsid w:val="00F43E91"/>
    <w:rsid w:val="00F60FB8"/>
    <w:rsid w:val="00F6467A"/>
    <w:rsid w:val="00F73C1A"/>
    <w:rsid w:val="00F76C61"/>
    <w:rsid w:val="00F8644A"/>
    <w:rsid w:val="00F91E3D"/>
    <w:rsid w:val="00F926B2"/>
    <w:rsid w:val="00F965E0"/>
    <w:rsid w:val="00FA1D1E"/>
    <w:rsid w:val="00FA3D06"/>
    <w:rsid w:val="00FA49A1"/>
    <w:rsid w:val="00FA7C28"/>
    <w:rsid w:val="00FB3A36"/>
    <w:rsid w:val="00FB3F79"/>
    <w:rsid w:val="00FB700B"/>
    <w:rsid w:val="00FC051D"/>
    <w:rsid w:val="00FC4D27"/>
    <w:rsid w:val="00FC6389"/>
    <w:rsid w:val="00FD6E95"/>
    <w:rsid w:val="00FE05CF"/>
    <w:rsid w:val="00FE7640"/>
    <w:rsid w:val="00FF1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73"/>
    <o:shapelayout v:ext="edit">
      <o:idmap v:ext="edit" data="1"/>
    </o:shapelayout>
  </w:shapeDefaults>
  <w:decimalSymbol w:val="."/>
  <w:listSeparator w:val="|"/>
  <w14:docId w14:val="2789C8C4"/>
  <w15:docId w15:val="{D20B5484-1A6A-4CB2-9674-5051FC0C4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71A5"/>
  </w:style>
  <w:style w:type="paragraph" w:styleId="Heading1">
    <w:name w:val="heading 1"/>
    <w:basedOn w:val="Normal"/>
    <w:next w:val="Normal"/>
    <w:link w:val="Heading1Char"/>
    <w:uiPriority w:val="9"/>
    <w:qFormat/>
    <w:rsid w:val="00D337DA"/>
    <w:pPr>
      <w:widowControl w:val="0"/>
      <w:autoSpaceDE w:val="0"/>
      <w:autoSpaceDN w:val="0"/>
      <w:spacing w:before="164"/>
      <w:ind w:left="200" w:right="133"/>
      <w:jc w:val="center"/>
      <w:outlineLvl w:val="0"/>
    </w:pPr>
    <w:rPr>
      <w:rFonts w:ascii="Source Sans Pro" w:eastAsia="Verdana" w:hAnsi="Source Sans Pro" w:cs="Verdana"/>
      <w:b/>
      <w:bCs/>
      <w:color w:val="004680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0A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0A35"/>
  </w:style>
  <w:style w:type="paragraph" w:styleId="Footer">
    <w:name w:val="footer"/>
    <w:basedOn w:val="Normal"/>
    <w:link w:val="FooterChar"/>
    <w:uiPriority w:val="99"/>
    <w:unhideWhenUsed/>
    <w:rsid w:val="00810A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0A35"/>
  </w:style>
  <w:style w:type="table" w:styleId="TableGrid">
    <w:name w:val="Table Grid"/>
    <w:basedOn w:val="TableNormal"/>
    <w:uiPriority w:val="39"/>
    <w:rsid w:val="005521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-Accent5">
    <w:name w:val="Light List Accent 5"/>
    <w:basedOn w:val="TableNormal"/>
    <w:uiPriority w:val="61"/>
    <w:rsid w:val="0055217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013B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3B7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E360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F15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15E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15E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15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15E8"/>
    <w:rPr>
      <w:b/>
      <w:bCs/>
      <w:sz w:val="20"/>
      <w:szCs w:val="20"/>
    </w:rPr>
  </w:style>
  <w:style w:type="paragraph" w:styleId="NoSpacing">
    <w:name w:val="No Spacing"/>
    <w:uiPriority w:val="1"/>
    <w:qFormat/>
    <w:rsid w:val="00A237A9"/>
  </w:style>
  <w:style w:type="paragraph" w:customStyle="1" w:styleId="Standard1">
    <w:name w:val="Standard1"/>
    <w:basedOn w:val="Normal"/>
    <w:rsid w:val="00374925"/>
    <w:pPr>
      <w:spacing w:before="60" w:after="6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075402"/>
    <w:pPr>
      <w:autoSpaceDE w:val="0"/>
      <w:autoSpaceDN w:val="0"/>
      <w:adjustRightInd w:val="0"/>
    </w:pPr>
    <w:rPr>
      <w:rFonts w:ascii="Segoe UI" w:hAnsi="Segoe UI" w:cs="Segoe UI"/>
      <w:color w:val="000000"/>
      <w:sz w:val="24"/>
      <w:szCs w:val="24"/>
      <w14:ligatures w14:val="standardContextual"/>
    </w:rPr>
  </w:style>
  <w:style w:type="character" w:customStyle="1" w:styleId="Heading1Char">
    <w:name w:val="Heading 1 Char"/>
    <w:basedOn w:val="DefaultParagraphFont"/>
    <w:link w:val="Heading1"/>
    <w:uiPriority w:val="9"/>
    <w:rsid w:val="00D337DA"/>
    <w:rPr>
      <w:rFonts w:ascii="Source Sans Pro" w:eastAsia="Verdana" w:hAnsi="Source Sans Pro" w:cs="Verdana"/>
      <w:b/>
      <w:bCs/>
      <w:color w:val="00468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4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3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3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9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6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8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3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9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5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2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2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5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4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3F9BD.4196988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A0C65A-7379-4546-A0DC-209D82E6F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12</Pages>
  <Words>2623</Words>
  <Characters>14955</Characters>
  <Application>Microsoft Office Word</Application>
  <DocSecurity>0</DocSecurity>
  <Lines>124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Ucare</Company>
  <LinksUpToDate>false</LinksUpToDate>
  <CharactersWithSpaces>17543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See Som</dc:creator>
  <cp:keywords/>
  <dc:description/>
  <cp:lastModifiedBy>Chia Yang</cp:lastModifiedBy>
  <cp:revision>3</cp:revision>
  <cp:lastPrinted>2021-03-05T16:16:00Z</cp:lastPrinted>
  <dcterms:created xsi:type="dcterms:W3CDTF">2025-12-09T19:18:00Z</dcterms:created>
  <dcterms:modified xsi:type="dcterms:W3CDTF">2025-12-09T19:47:00Z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2014-07-24T00:00:00Z</vt:filetime>
  </property>
  <property fmtid="{D5CDD505-2E9C-101B-9397-08002B2CF9AE}" pid="3" name="LastSaved">
    <vt:filetime>2014-10-08T00:00:00Z</vt:filetime>
  </property>
</Properties>
</file>