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6287" w14:textId="67FA93B7" w:rsidR="004A3F96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proofErr w:type="spellStart"/>
      <w:r w:rsidRPr="00A05F99">
        <w:rPr>
          <w:rFonts w:ascii="Verdana" w:eastAsia="Times New Roman" w:hAnsi="Verdana" w:cs="Times New Roman"/>
          <w:bCs/>
          <w:spacing w:val="2"/>
        </w:rPr>
        <w:t>UCare</w:t>
      </w:r>
      <w:r w:rsidR="00440BB7" w:rsidRPr="00A05F99">
        <w:rPr>
          <w:rFonts w:ascii="Verdana" w:eastAsia="Times New Roman" w:hAnsi="Verdana" w:cs="Times New Roman"/>
          <w:bCs/>
          <w:spacing w:val="2"/>
        </w:rPr>
        <w:t>’s</w:t>
      </w:r>
      <w:proofErr w:type="spellEnd"/>
      <w:r w:rsidRPr="00A05F99">
        <w:rPr>
          <w:rFonts w:ascii="Verdana" w:eastAsia="Times New Roman" w:hAnsi="Verdana" w:cs="Times New Roman"/>
          <w:bCs/>
          <w:spacing w:val="2"/>
        </w:rPr>
        <w:t xml:space="preserve"> Pharmacy and Therapeutics Committee (P&amp;T) is a group of physicians and pharmacists that meet throughout </w:t>
      </w:r>
      <w:r w:rsidR="00AD66FA" w:rsidRPr="00A05F99">
        <w:rPr>
          <w:rFonts w:ascii="Verdana" w:eastAsia="Times New Roman" w:hAnsi="Verdana" w:cs="Times New Roman"/>
          <w:bCs/>
          <w:spacing w:val="2"/>
        </w:rPr>
        <w:t>the year to make changes to UCare formularies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 (approved drug list). </w:t>
      </w:r>
      <w:r w:rsidRPr="00A05F99">
        <w:rPr>
          <w:rFonts w:ascii="Verdana" w:eastAsia="Times New Roman" w:hAnsi="Verdana" w:cs="Times New Roman"/>
          <w:bCs/>
          <w:spacing w:val="2"/>
        </w:rPr>
        <w:t>These changes are reviewed based on clinical evidence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, safety, and 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therapeutic guidelines.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All changes that 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are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recommended by P&amp;T </w:t>
      </w:r>
      <w:r w:rsidR="00CB7322" w:rsidRPr="00A05F99">
        <w:rPr>
          <w:rFonts w:ascii="Verdana" w:eastAsia="Times New Roman" w:hAnsi="Verdana" w:cs="Times New Roman"/>
          <w:bCs/>
          <w:spacing w:val="2"/>
        </w:rPr>
        <w:t xml:space="preserve">for the Medicare formularies </w:t>
      </w:r>
      <w:r w:rsidRPr="00A05F99">
        <w:rPr>
          <w:rFonts w:ascii="Verdana" w:eastAsia="Times New Roman" w:hAnsi="Verdana" w:cs="Times New Roman"/>
          <w:bCs/>
          <w:spacing w:val="2"/>
        </w:rPr>
        <w:t>are tentative un</w:t>
      </w:r>
      <w:r w:rsidR="00CB7322" w:rsidRPr="00A05F99">
        <w:rPr>
          <w:rFonts w:ascii="Verdana" w:eastAsia="Times New Roman" w:hAnsi="Verdana" w:cs="Times New Roman"/>
          <w:bCs/>
          <w:spacing w:val="2"/>
        </w:rPr>
        <w:t>til UCare receives final CMS approval.</w:t>
      </w:r>
    </w:p>
    <w:p w14:paraId="65087A81" w14:textId="77777777" w:rsidR="004A3F96" w:rsidRPr="00A05F99" w:rsidRDefault="004A3F96" w:rsidP="004A3F96">
      <w:pPr>
        <w:spacing w:before="24"/>
        <w:ind w:left="569" w:right="-20"/>
        <w:rPr>
          <w:rFonts w:ascii="Verdana" w:eastAsia="Times New Roman" w:hAnsi="Verdana" w:cs="Times New Roman"/>
          <w:bCs/>
          <w:spacing w:val="2"/>
        </w:rPr>
      </w:pPr>
    </w:p>
    <w:p w14:paraId="1150A02D" w14:textId="77777777" w:rsidR="00B81F89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u w:val="single"/>
        </w:rPr>
      </w:pPr>
      <w:r w:rsidRPr="00A05F99">
        <w:rPr>
          <w:rFonts w:ascii="Verdana" w:eastAsia="Times New Roman" w:hAnsi="Verdana" w:cs="Times New Roman"/>
          <w:bCs/>
          <w:spacing w:val="2"/>
          <w:u w:val="single"/>
        </w:rPr>
        <w:t>Key:</w:t>
      </w:r>
    </w:p>
    <w:p w14:paraId="5D1D94BF" w14:textId="112F53CD" w:rsidR="00B81F89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Medicare: </w:t>
      </w:r>
      <w:r w:rsidR="001B70F1" w:rsidRPr="00A05F99">
        <w:rPr>
          <w:rFonts w:ascii="Verdana" w:eastAsia="Times New Roman" w:hAnsi="Verdana" w:cs="Times New Roman"/>
          <w:bCs/>
          <w:spacing w:val="2"/>
        </w:rPr>
        <w:t>UC</w:t>
      </w:r>
      <w:r w:rsidR="00B81F89" w:rsidRPr="00A05F99">
        <w:rPr>
          <w:rFonts w:ascii="Verdana" w:eastAsia="Times New Roman" w:hAnsi="Verdana" w:cs="Times New Roman"/>
          <w:bCs/>
          <w:spacing w:val="2"/>
        </w:rPr>
        <w:t>ar</w:t>
      </w:r>
      <w:r w:rsidRPr="00A05F99">
        <w:rPr>
          <w:rFonts w:ascii="Verdana" w:eastAsia="Times New Roman" w:hAnsi="Verdana" w:cs="Times New Roman"/>
          <w:bCs/>
          <w:spacing w:val="2"/>
        </w:rPr>
        <w:t>e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Medicare</w:t>
      </w:r>
      <w:r w:rsidRPr="00A05F99">
        <w:rPr>
          <w:rFonts w:ascii="Verdana" w:eastAsia="Times New Roman" w:hAnsi="Verdana" w:cs="Times New Roman"/>
          <w:bCs/>
          <w:spacing w:val="2"/>
        </w:rPr>
        <w:t>,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UCare Medicare with Fairview and North Memorial,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 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UCare Group Medicare, </w:t>
      </w:r>
      <w:proofErr w:type="spellStart"/>
      <w:r w:rsidR="00523363" w:rsidRPr="00A05F99">
        <w:rPr>
          <w:rFonts w:ascii="Verdana" w:eastAsia="Times New Roman" w:hAnsi="Verdana" w:cs="Times New Roman"/>
          <w:bCs/>
          <w:spacing w:val="2"/>
        </w:rPr>
        <w:t>EssentiaCare</w:t>
      </w:r>
      <w:proofErr w:type="spellEnd"/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, </w:t>
      </w:r>
      <w:r w:rsidRPr="00A05F99">
        <w:rPr>
          <w:rFonts w:ascii="Verdana" w:eastAsia="Times New Roman" w:hAnsi="Verdana" w:cs="Times New Roman"/>
          <w:bCs/>
          <w:spacing w:val="2"/>
        </w:rPr>
        <w:t>Minnesota Sen</w:t>
      </w:r>
      <w:r w:rsidR="00523363" w:rsidRPr="00A05F99">
        <w:rPr>
          <w:rFonts w:ascii="Verdana" w:eastAsia="Times New Roman" w:hAnsi="Verdana" w:cs="Times New Roman"/>
          <w:bCs/>
          <w:spacing w:val="2"/>
        </w:rPr>
        <w:t>ior Health Options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(MSHO)</w:t>
      </w:r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 </w:t>
      </w:r>
      <w:r w:rsidR="005C2E2A" w:rsidRPr="00A05F99">
        <w:rPr>
          <w:rFonts w:ascii="Verdana" w:eastAsia="Times New Roman" w:hAnsi="Verdana" w:cs="Times New Roman"/>
          <w:bCs/>
          <w:spacing w:val="2"/>
        </w:rPr>
        <w:t xml:space="preserve">&amp; </w:t>
      </w:r>
      <w:proofErr w:type="gramStart"/>
      <w:r w:rsidR="005C2E2A" w:rsidRPr="00A05F99">
        <w:rPr>
          <w:rFonts w:ascii="Verdana" w:eastAsia="Times New Roman" w:hAnsi="Verdana" w:cs="Times New Roman"/>
          <w:bCs/>
          <w:spacing w:val="2"/>
        </w:rPr>
        <w:t>Connect</w:t>
      </w:r>
      <w:proofErr w:type="gramEnd"/>
      <w:r w:rsidR="005C2E2A" w:rsidRPr="00A05F99">
        <w:rPr>
          <w:rFonts w:ascii="Verdana" w:eastAsia="Times New Roman" w:hAnsi="Verdana" w:cs="Times New Roman"/>
          <w:bCs/>
          <w:spacing w:val="2"/>
        </w:rPr>
        <w:t xml:space="preserve"> + Medicare </w:t>
      </w:r>
    </w:p>
    <w:p w14:paraId="7EDBF446" w14:textId="79F0D6AC" w:rsidR="0005632B" w:rsidRPr="00A05F99" w:rsidRDefault="0005632B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Medicaid</w:t>
      </w:r>
      <w:r w:rsidR="00400E1D" w:rsidRPr="00A05F99">
        <w:rPr>
          <w:rFonts w:ascii="Verdana" w:eastAsia="Times New Roman" w:hAnsi="Verdana" w:cs="Times New Roman"/>
          <w:bCs/>
          <w:spacing w:val="2"/>
        </w:rPr>
        <w:t xml:space="preserve">: PMAP, </w:t>
      </w:r>
      <w:proofErr w:type="spellStart"/>
      <w:r w:rsidR="00400E1D" w:rsidRPr="00A05F99">
        <w:rPr>
          <w:rFonts w:ascii="Verdana" w:eastAsia="Times New Roman" w:hAnsi="Verdana" w:cs="Times New Roman"/>
          <w:bCs/>
          <w:spacing w:val="2"/>
        </w:rPr>
        <w:t>MnCare</w:t>
      </w:r>
      <w:proofErr w:type="spellEnd"/>
      <w:r w:rsidR="00400E1D" w:rsidRPr="00A05F99">
        <w:rPr>
          <w:rFonts w:ascii="Verdana" w:eastAsia="Times New Roman" w:hAnsi="Verdana" w:cs="Times New Roman"/>
          <w:bCs/>
          <w:spacing w:val="2"/>
        </w:rPr>
        <w:t xml:space="preserve">, MSC+ &amp; </w:t>
      </w:r>
      <w:proofErr w:type="gramStart"/>
      <w:r w:rsidR="00400E1D" w:rsidRPr="00A05F99">
        <w:rPr>
          <w:rFonts w:ascii="Verdana" w:eastAsia="Times New Roman" w:hAnsi="Verdana" w:cs="Times New Roman"/>
          <w:bCs/>
          <w:spacing w:val="2"/>
        </w:rPr>
        <w:t>Connect</w:t>
      </w:r>
      <w:proofErr w:type="gramEnd"/>
    </w:p>
    <w:p w14:paraId="6F77E887" w14:textId="5944DAAC" w:rsidR="00400E1D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Exchange: UCare </w:t>
      </w:r>
      <w:r w:rsidR="005A0F54" w:rsidRPr="00A05F99">
        <w:rPr>
          <w:rFonts w:ascii="Verdana" w:eastAsia="Times New Roman" w:hAnsi="Verdana" w:cs="Times New Roman"/>
          <w:bCs/>
          <w:spacing w:val="2"/>
        </w:rPr>
        <w:t>Individual and Family Plans</w:t>
      </w:r>
    </w:p>
    <w:p w14:paraId="4185E2F5" w14:textId="77777777" w:rsidR="00303B44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p w14:paraId="7985106C" w14:textId="0A85FDAA" w:rsidR="004A3F96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Formulary</w:t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00D3FA92" w14:textId="7173AA21" w:rsidR="00173929" w:rsidRPr="00A05F99" w:rsidRDefault="00173929" w:rsidP="00173929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NF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Non-formulary</w:t>
      </w:r>
    </w:p>
    <w:p w14:paraId="5F4065EA" w14:textId="7C8229A1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PA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Prior Authorization </w:t>
      </w:r>
    </w:p>
    <w:p w14:paraId="2971532A" w14:textId="05202C80" w:rsidR="00844806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QL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Quantity Limit</w:t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495D3ADA" w14:textId="6D1B218A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ST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Step Therapy</w:t>
      </w:r>
    </w:p>
    <w:p w14:paraId="440A392E" w14:textId="63A1AAD7" w:rsidR="005E2989" w:rsidRDefault="005E2989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4B4A2D" w:rsidRPr="00BA7E1A" w14:paraId="39A37783" w14:textId="77777777" w:rsidTr="004A4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p w14:paraId="1C3508E8" w14:textId="27723C7B" w:rsidR="004B4A2D" w:rsidRPr="00852F8C" w:rsidRDefault="004B4A2D" w:rsidP="00FB392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852F8C">
              <w:rPr>
                <w:rFonts w:ascii="Verdana" w:hAnsi="Verdana"/>
                <w:sz w:val="20"/>
                <w:szCs w:val="20"/>
              </w:rPr>
              <w:t xml:space="preserve">New </w:t>
            </w:r>
            <w:r w:rsidR="004A4967" w:rsidRPr="00852F8C">
              <w:rPr>
                <w:rFonts w:ascii="Verdana" w:hAnsi="Verdana"/>
                <w:sz w:val="20"/>
                <w:szCs w:val="20"/>
              </w:rPr>
              <w:t>Drug</w:t>
            </w:r>
            <w:r w:rsidRPr="00852F8C">
              <w:rPr>
                <w:rFonts w:ascii="Verdana" w:hAnsi="Verdana"/>
                <w:sz w:val="20"/>
                <w:szCs w:val="20"/>
              </w:rPr>
              <w:t xml:space="preserve"> Review </w:t>
            </w:r>
          </w:p>
        </w:tc>
      </w:tr>
    </w:tbl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970"/>
        <w:gridCol w:w="3330"/>
        <w:gridCol w:w="3150"/>
        <w:gridCol w:w="1440"/>
      </w:tblGrid>
      <w:tr w:rsidR="00E77836" w14:paraId="28A73A21" w14:textId="77777777" w:rsidTr="00B727CC">
        <w:tc>
          <w:tcPr>
            <w:tcW w:w="2970" w:type="dxa"/>
          </w:tcPr>
          <w:p w14:paraId="4F2C9E27" w14:textId="77777777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 xml:space="preserve">Drug </w:t>
            </w:r>
          </w:p>
        </w:tc>
        <w:tc>
          <w:tcPr>
            <w:tcW w:w="3330" w:type="dxa"/>
          </w:tcPr>
          <w:p w14:paraId="7DBC1588" w14:textId="492A40AC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Indication</w:t>
            </w:r>
          </w:p>
        </w:tc>
        <w:tc>
          <w:tcPr>
            <w:tcW w:w="3150" w:type="dxa"/>
          </w:tcPr>
          <w:p w14:paraId="6E42E2D8" w14:textId="302EC425" w:rsidR="004B4A2D" w:rsidRPr="00A05F99" w:rsidRDefault="004B4A2D" w:rsidP="00FB392C">
            <w:pPr>
              <w:spacing w:after="240"/>
              <w:rPr>
                <w:rFonts w:ascii="Verdana" w:hAnsi="Verdana"/>
                <w:b/>
                <w:bCs/>
              </w:rPr>
            </w:pPr>
            <w:r w:rsidRPr="00A05F99">
              <w:rPr>
                <w:rFonts w:ascii="Verdana" w:hAnsi="Verdana"/>
                <w:b/>
                <w:bCs/>
              </w:rPr>
              <w:t>Formulary Coverage</w:t>
            </w:r>
          </w:p>
        </w:tc>
        <w:tc>
          <w:tcPr>
            <w:tcW w:w="1440" w:type="dxa"/>
          </w:tcPr>
          <w:p w14:paraId="3392FAAB" w14:textId="66DD6409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Effective Date</w:t>
            </w:r>
          </w:p>
        </w:tc>
      </w:tr>
      <w:tr w:rsidR="0073594F" w:rsidRPr="00852F8C" w14:paraId="2427BC04" w14:textId="77777777" w:rsidTr="00B727CC">
        <w:tc>
          <w:tcPr>
            <w:tcW w:w="2970" w:type="dxa"/>
          </w:tcPr>
          <w:p w14:paraId="326DCCD2" w14:textId="7F96295D" w:rsidR="0073594F" w:rsidRPr="00B727CC" w:rsidRDefault="005A5771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 w:rsidRPr="00B727CC">
              <w:rPr>
                <w:rFonts w:ascii="Verdana" w:hAnsi="Verdana" w:cs="Arial"/>
                <w:bCs/>
              </w:rPr>
              <w:t>Wainua</w:t>
            </w:r>
            <w:proofErr w:type="spellEnd"/>
            <w:r w:rsidRPr="00B727CC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B727CC">
              <w:rPr>
                <w:rFonts w:ascii="Verdana" w:hAnsi="Verdana" w:cs="Arial"/>
                <w:bCs/>
              </w:rPr>
              <w:t>eplontersen</w:t>
            </w:r>
            <w:proofErr w:type="spellEnd"/>
            <w:r w:rsidRPr="00B727CC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39575D0C" w14:textId="353E3273" w:rsidR="0073594F" w:rsidRPr="00837406" w:rsidRDefault="005A5771" w:rsidP="0073594F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807B26">
              <w:rPr>
                <w:rFonts w:ascii="Verdana" w:hAnsi="Verdana" w:cstheme="minorHAnsi"/>
              </w:rPr>
              <w:t>for the treatment of polyneuropathy of hereditary transthyretin-mediated amyloidosis (</w:t>
            </w:r>
            <w:proofErr w:type="spellStart"/>
            <w:r w:rsidRPr="00807B26">
              <w:rPr>
                <w:rFonts w:ascii="Verdana" w:hAnsi="Verdana" w:cstheme="minorHAnsi"/>
              </w:rPr>
              <w:t>hATTR</w:t>
            </w:r>
            <w:proofErr w:type="spellEnd"/>
            <w:r w:rsidRPr="00807B26">
              <w:rPr>
                <w:rFonts w:ascii="Verdana" w:hAnsi="Verdana" w:cstheme="minorHAnsi"/>
              </w:rPr>
              <w:t>) in adults</w:t>
            </w:r>
          </w:p>
        </w:tc>
        <w:tc>
          <w:tcPr>
            <w:tcW w:w="3150" w:type="dxa"/>
          </w:tcPr>
          <w:p w14:paraId="01BA5FB5" w14:textId="77777777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Non-Formulary</w:t>
            </w:r>
          </w:p>
          <w:p w14:paraId="65F65D6C" w14:textId="77777777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Non-Formulary</w:t>
            </w:r>
          </w:p>
          <w:p w14:paraId="376ADAB1" w14:textId="77777777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Non-Formulary</w:t>
            </w:r>
          </w:p>
          <w:p w14:paraId="22F75EC4" w14:textId="77777777" w:rsidR="0073594F" w:rsidRPr="00B727CC" w:rsidRDefault="0073594F" w:rsidP="0073594F">
            <w:pPr>
              <w:rPr>
                <w:rFonts w:ascii="Verdana" w:hAnsi="Verdana"/>
              </w:rPr>
            </w:pPr>
          </w:p>
          <w:p w14:paraId="44B475AE" w14:textId="20D84793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0B112B8" w14:textId="78B85DD8" w:rsidR="0073594F" w:rsidRPr="00B727CC" w:rsidRDefault="0073594F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12F2BC56" w14:textId="77777777" w:rsidTr="00B727CC">
        <w:tc>
          <w:tcPr>
            <w:tcW w:w="2970" w:type="dxa"/>
          </w:tcPr>
          <w:p w14:paraId="2364AE83" w14:textId="593E8BDA" w:rsidR="0073594F" w:rsidRPr="00B727CC" w:rsidRDefault="005A5771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 w:rsidRPr="00B727CC">
              <w:rPr>
                <w:rFonts w:ascii="Verdana" w:hAnsi="Verdana"/>
                <w:bCs/>
              </w:rPr>
              <w:t>Filsuvez</w:t>
            </w:r>
            <w:proofErr w:type="spellEnd"/>
            <w:r w:rsidRPr="00B727CC">
              <w:rPr>
                <w:rFonts w:ascii="Verdana" w:hAnsi="Verdana"/>
                <w:bCs/>
              </w:rPr>
              <w:t xml:space="preserve"> (birch triterpenes)</w:t>
            </w:r>
          </w:p>
        </w:tc>
        <w:tc>
          <w:tcPr>
            <w:tcW w:w="3330" w:type="dxa"/>
          </w:tcPr>
          <w:p w14:paraId="68879A63" w14:textId="065485E9" w:rsidR="0073594F" w:rsidRPr="005A5771" w:rsidRDefault="005A5771" w:rsidP="0073594F">
            <w:pPr>
              <w:rPr>
                <w:rFonts w:ascii="Verdana" w:hAnsi="Verdana"/>
                <w:b/>
                <w:u w:val="single"/>
              </w:rPr>
            </w:pPr>
            <w:r w:rsidRPr="00807B26">
              <w:rPr>
                <w:rFonts w:ascii="Verdana" w:hAnsi="Verdana"/>
              </w:rPr>
              <w:t>Treatment of wounds associated with dystrophic epidermolysis bullosa (DEB) and junctional epidermolysis bullosa (JEB) in adult and pediatric patients aged ≥ 6 months</w:t>
            </w:r>
          </w:p>
        </w:tc>
        <w:tc>
          <w:tcPr>
            <w:tcW w:w="3150" w:type="dxa"/>
          </w:tcPr>
          <w:p w14:paraId="1C752640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Non-Formulary</w:t>
            </w:r>
          </w:p>
          <w:p w14:paraId="55491D12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Non-Formulary</w:t>
            </w:r>
          </w:p>
          <w:p w14:paraId="70ED21BD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Non-Formulary</w:t>
            </w:r>
          </w:p>
          <w:p w14:paraId="38B94024" w14:textId="500FF5A0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7DAE0E7" w14:textId="7D393568" w:rsidR="0073594F" w:rsidRPr="00B727CC" w:rsidRDefault="005A5771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244883DA" w14:textId="77777777" w:rsidTr="00B727CC">
        <w:tc>
          <w:tcPr>
            <w:tcW w:w="2970" w:type="dxa"/>
          </w:tcPr>
          <w:p w14:paraId="052FEE7C" w14:textId="74843311" w:rsidR="00330E7F" w:rsidRPr="00B727CC" w:rsidRDefault="005A5771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 w:rsidRPr="00B727CC">
              <w:rPr>
                <w:rFonts w:ascii="Verdana" w:hAnsi="Verdana" w:cs="Arial"/>
                <w:bCs/>
              </w:rPr>
              <w:t>Iwilfin</w:t>
            </w:r>
            <w:proofErr w:type="spellEnd"/>
            <w:r w:rsidRPr="00B727CC">
              <w:rPr>
                <w:rFonts w:ascii="Verdana" w:hAnsi="Verdana" w:cs="Arial"/>
                <w:bCs/>
              </w:rPr>
              <w:t xml:space="preserve"> (eflornithine) </w:t>
            </w:r>
            <w:r w:rsidRPr="00B727CC">
              <w:rPr>
                <w:rFonts w:ascii="Verdana" w:hAnsi="Verdana" w:cs="Arial"/>
                <w:bCs/>
                <w:color w:val="FF0000"/>
              </w:rPr>
              <w:t>Protected Class Drug</w:t>
            </w:r>
          </w:p>
        </w:tc>
        <w:tc>
          <w:tcPr>
            <w:tcW w:w="3330" w:type="dxa"/>
          </w:tcPr>
          <w:p w14:paraId="1ADCCA37" w14:textId="77F760A1" w:rsidR="0073594F" w:rsidRPr="00B727CC" w:rsidRDefault="005A5771" w:rsidP="0073594F">
            <w:pPr>
              <w:rPr>
                <w:rFonts w:ascii="Verdana" w:hAnsi="Verdana"/>
                <w:b/>
                <w:u w:val="single"/>
              </w:rPr>
            </w:pPr>
            <w:r w:rsidRPr="00807B26">
              <w:rPr>
                <w:rFonts w:ascii="Verdana" w:hAnsi="Verdana" w:cstheme="minorHAnsi"/>
              </w:rPr>
              <w:t>To reduce the risk of relapse in adult and pediatric patients with high-risk neuroblastoma (HRNB) who have demonstrated at least a partial response to prior multiagent, multimodality therapy including anti-GD2 immunotherapy.</w:t>
            </w:r>
          </w:p>
        </w:tc>
        <w:tc>
          <w:tcPr>
            <w:tcW w:w="3150" w:type="dxa"/>
          </w:tcPr>
          <w:p w14:paraId="3AFEF57E" w14:textId="288319A3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Formulary</w:t>
            </w:r>
            <w:r w:rsidR="005A5771" w:rsidRPr="00B727CC">
              <w:rPr>
                <w:rFonts w:ascii="Verdana" w:hAnsi="Verdana"/>
              </w:rPr>
              <w:t xml:space="preserve"> w/PA</w:t>
            </w:r>
          </w:p>
          <w:p w14:paraId="621CBB1D" w14:textId="5065DF16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Medicaid: </w:t>
            </w:r>
            <w:r w:rsidR="005A5771" w:rsidRPr="00B727CC">
              <w:rPr>
                <w:rFonts w:ascii="Verdana" w:hAnsi="Verdana"/>
              </w:rPr>
              <w:t>Formulary w/PA</w:t>
            </w:r>
          </w:p>
          <w:p w14:paraId="0343274C" w14:textId="0EB6A791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Exchange: </w:t>
            </w:r>
            <w:r w:rsidR="005A5771" w:rsidRPr="00B727CC">
              <w:rPr>
                <w:rFonts w:ascii="Verdana" w:hAnsi="Verdana"/>
              </w:rPr>
              <w:t>Formulary w/PA</w:t>
            </w:r>
          </w:p>
          <w:p w14:paraId="2C36D2FB" w14:textId="77777777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</w:p>
          <w:p w14:paraId="34C32304" w14:textId="205CA4AD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5CB19907" w14:textId="16C2E00D" w:rsidR="0073594F" w:rsidRPr="00B727CC" w:rsidRDefault="005A5771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4EE1C15E" w14:textId="77777777" w:rsidTr="00B727CC">
        <w:tc>
          <w:tcPr>
            <w:tcW w:w="2970" w:type="dxa"/>
          </w:tcPr>
          <w:p w14:paraId="78D228E7" w14:textId="68BBFB81" w:rsidR="00330E7F" w:rsidRPr="00B727CC" w:rsidRDefault="005A5771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 w:rsidRPr="00B727CC">
              <w:rPr>
                <w:rFonts w:ascii="Verdana" w:hAnsi="Verdana" w:cs="Arial"/>
                <w:bCs/>
              </w:rPr>
              <w:lastRenderedPageBreak/>
              <w:t>Rivfloza</w:t>
            </w:r>
            <w:proofErr w:type="spellEnd"/>
            <w:r w:rsidRPr="00B727CC">
              <w:rPr>
                <w:rFonts w:ascii="Verdana" w:hAnsi="Verdana" w:cs="Arial"/>
                <w:bCs/>
              </w:rPr>
              <w:t xml:space="preserve"> (</w:t>
            </w:r>
            <w:proofErr w:type="spellStart"/>
            <w:r w:rsidRPr="00B727CC">
              <w:rPr>
                <w:rFonts w:ascii="Verdana" w:hAnsi="Verdana" w:cs="Arial"/>
                <w:bCs/>
              </w:rPr>
              <w:t>nedosiran</w:t>
            </w:r>
            <w:proofErr w:type="spellEnd"/>
            <w:r w:rsidRPr="00B727CC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31782812" w14:textId="45CBAFFF" w:rsidR="0073594F" w:rsidRPr="005A5771" w:rsidRDefault="005A5771" w:rsidP="0073594F">
            <w:pPr>
              <w:rPr>
                <w:rFonts w:ascii="Verdana" w:hAnsi="Verdana"/>
                <w:b/>
                <w:u w:val="single"/>
              </w:rPr>
            </w:pPr>
            <w:r w:rsidRPr="00807B26">
              <w:rPr>
                <w:rFonts w:ascii="Verdana" w:hAnsi="Verdana"/>
              </w:rPr>
              <w:t>To lower urinary oxalate (</w:t>
            </w:r>
            <w:proofErr w:type="spellStart"/>
            <w:r w:rsidRPr="00807B26">
              <w:rPr>
                <w:rFonts w:ascii="Verdana" w:hAnsi="Verdana"/>
              </w:rPr>
              <w:t>Uox</w:t>
            </w:r>
            <w:proofErr w:type="spellEnd"/>
            <w:r w:rsidRPr="00807B26">
              <w:rPr>
                <w:rFonts w:ascii="Verdana" w:hAnsi="Verdana"/>
              </w:rPr>
              <w:t>) levels in patients ≥ 9 years of age with primary hyperoxaluria type 1 (PH1) and relatively preserved kidney function (e.g. eGFR ≥ 30 mL/min/1.73 m2)</w:t>
            </w:r>
          </w:p>
        </w:tc>
        <w:tc>
          <w:tcPr>
            <w:tcW w:w="3150" w:type="dxa"/>
          </w:tcPr>
          <w:p w14:paraId="56E8AC01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Non-Formulary</w:t>
            </w:r>
          </w:p>
          <w:p w14:paraId="371B92C2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Non-Formulary</w:t>
            </w:r>
          </w:p>
          <w:p w14:paraId="37D9E1A3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Non-Formulary</w:t>
            </w:r>
          </w:p>
          <w:p w14:paraId="69A601A5" w14:textId="77777777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099FF3E" w14:textId="4D1A2392" w:rsidR="0073594F" w:rsidRPr="00B727CC" w:rsidRDefault="005A5771" w:rsidP="0073594F">
            <w:pPr>
              <w:rPr>
                <w:rFonts w:ascii="Verdana" w:hAnsi="Verdana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3E5867" w:rsidRPr="00852F8C" w14:paraId="20D0C506" w14:textId="77777777" w:rsidTr="00B727CC">
        <w:tc>
          <w:tcPr>
            <w:tcW w:w="2970" w:type="dxa"/>
          </w:tcPr>
          <w:p w14:paraId="785ADB37" w14:textId="5098CBFC" w:rsidR="003E5867" w:rsidRPr="00B727CC" w:rsidRDefault="005A5771" w:rsidP="003E5867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B727CC">
              <w:rPr>
                <w:rFonts w:ascii="Verdana" w:hAnsi="Verdana" w:cs="Arial"/>
                <w:bCs/>
              </w:rPr>
              <w:t>Ogsiveo</w:t>
            </w:r>
            <w:proofErr w:type="spellEnd"/>
          </w:p>
          <w:p w14:paraId="07089E0F" w14:textId="5394693D" w:rsidR="005A5771" w:rsidRPr="00B727CC" w:rsidRDefault="005A5771" w:rsidP="005A577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A454CD" w14:textId="40915261" w:rsidR="003E5867" w:rsidRPr="00B01345" w:rsidRDefault="005A5771" w:rsidP="003E5867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/>
              </w:rPr>
              <w:t>A</w:t>
            </w:r>
            <w:r w:rsidRPr="00807B26">
              <w:rPr>
                <w:rFonts w:ascii="Verdana" w:hAnsi="Verdana"/>
              </w:rPr>
              <w:t>dults with progressing desmoid tumors (DT) who require systemic treatment</w:t>
            </w:r>
          </w:p>
        </w:tc>
        <w:tc>
          <w:tcPr>
            <w:tcW w:w="3150" w:type="dxa"/>
          </w:tcPr>
          <w:p w14:paraId="04EE505B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Formulary w/PA</w:t>
            </w:r>
          </w:p>
          <w:p w14:paraId="458D608A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Formulary w/PA</w:t>
            </w:r>
          </w:p>
          <w:p w14:paraId="5BBD71C9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Formulary w/PA</w:t>
            </w:r>
          </w:p>
          <w:p w14:paraId="6B5634E1" w14:textId="77777777" w:rsidR="003E5867" w:rsidRPr="00B727CC" w:rsidRDefault="003E5867" w:rsidP="003E586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537980B" w14:textId="7ED37180" w:rsidR="003E5867" w:rsidRPr="00B727CC" w:rsidRDefault="005A5771" w:rsidP="003E5867">
            <w:pPr>
              <w:rPr>
                <w:rFonts w:ascii="Verdana" w:hAnsi="Verdana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5A5771" w:rsidRPr="00852F8C" w14:paraId="2F8EE3BE" w14:textId="77777777" w:rsidTr="00B727CC">
        <w:tc>
          <w:tcPr>
            <w:tcW w:w="2970" w:type="dxa"/>
          </w:tcPr>
          <w:p w14:paraId="54A24F44" w14:textId="228F3936" w:rsidR="005A5771" w:rsidRPr="00B727CC" w:rsidRDefault="005A5771" w:rsidP="003E5867">
            <w:pPr>
              <w:rPr>
                <w:rFonts w:ascii="Verdana" w:hAnsi="Verdana" w:cs="Arial"/>
                <w:bCs/>
              </w:rPr>
            </w:pPr>
            <w:proofErr w:type="spellStart"/>
            <w:r w:rsidRPr="00B727CC">
              <w:rPr>
                <w:rFonts w:ascii="Verdana" w:hAnsi="Verdana" w:cs="Arial"/>
                <w:bCs/>
              </w:rPr>
              <w:t>Fabhalta</w:t>
            </w:r>
            <w:proofErr w:type="spellEnd"/>
          </w:p>
        </w:tc>
        <w:tc>
          <w:tcPr>
            <w:tcW w:w="3330" w:type="dxa"/>
          </w:tcPr>
          <w:p w14:paraId="71C7D3DE" w14:textId="17B16861" w:rsidR="005A5771" w:rsidRDefault="005A5771" w:rsidP="003E58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Pr="00807B26">
              <w:rPr>
                <w:rFonts w:ascii="Verdana" w:hAnsi="Verdana"/>
              </w:rPr>
              <w:t>reatment of adults with paroxysmal nocturnal hemoglobinuria (PNH)</w:t>
            </w:r>
          </w:p>
        </w:tc>
        <w:tc>
          <w:tcPr>
            <w:tcW w:w="3150" w:type="dxa"/>
          </w:tcPr>
          <w:p w14:paraId="2D0C7C92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Non-Formulary</w:t>
            </w:r>
          </w:p>
          <w:p w14:paraId="5313AA54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Non-Formulary</w:t>
            </w:r>
          </w:p>
          <w:p w14:paraId="347A48AF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Non-Formulary</w:t>
            </w:r>
          </w:p>
          <w:p w14:paraId="1A17E8A2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244416E" w14:textId="13238005" w:rsidR="005A5771" w:rsidRPr="00B727CC" w:rsidRDefault="005A5771" w:rsidP="003E5867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5A5771" w:rsidRPr="00852F8C" w14:paraId="4D100F37" w14:textId="77777777" w:rsidTr="00B727CC">
        <w:tc>
          <w:tcPr>
            <w:tcW w:w="2970" w:type="dxa"/>
          </w:tcPr>
          <w:p w14:paraId="5A74BC1A" w14:textId="77777777" w:rsidR="005A5771" w:rsidRPr="00B727CC" w:rsidRDefault="005A5771" w:rsidP="005A5771">
            <w:pPr>
              <w:pStyle w:val="Standard1"/>
              <w:spacing w:before="0" w:after="0"/>
              <w:rPr>
                <w:rFonts w:ascii="Verdana" w:hAnsi="Verdana" w:cs="Arial"/>
                <w:bCs/>
                <w:sz w:val="22"/>
                <w:szCs w:val="22"/>
              </w:rPr>
            </w:pPr>
            <w:proofErr w:type="spellStart"/>
            <w:r w:rsidRPr="00B727CC">
              <w:rPr>
                <w:rFonts w:ascii="Verdana" w:hAnsi="Verdana" w:cs="Arial"/>
                <w:bCs/>
                <w:sz w:val="22"/>
                <w:szCs w:val="22"/>
              </w:rPr>
              <w:t>Zilbrysq</w:t>
            </w:r>
            <w:proofErr w:type="spellEnd"/>
          </w:p>
          <w:p w14:paraId="1B0CC099" w14:textId="77777777" w:rsidR="005A5771" w:rsidRPr="00B727CC" w:rsidRDefault="005A5771" w:rsidP="003E5867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3330" w:type="dxa"/>
          </w:tcPr>
          <w:p w14:paraId="53456F38" w14:textId="294EFE6B" w:rsidR="005A5771" w:rsidRDefault="005A5771" w:rsidP="003E5867">
            <w:pPr>
              <w:rPr>
                <w:rFonts w:ascii="Verdana" w:hAnsi="Verdana"/>
              </w:rPr>
            </w:pPr>
            <w:r w:rsidRPr="00807B26">
              <w:rPr>
                <w:rFonts w:ascii="Verdana" w:hAnsi="Verdana"/>
              </w:rPr>
              <w:t>treatment of generalized myasthenia gravis (</w:t>
            </w:r>
            <w:proofErr w:type="spellStart"/>
            <w:r w:rsidRPr="00807B26">
              <w:rPr>
                <w:rFonts w:ascii="Verdana" w:hAnsi="Verdana"/>
              </w:rPr>
              <w:t>gMG</w:t>
            </w:r>
            <w:proofErr w:type="spellEnd"/>
            <w:r w:rsidRPr="00807B26">
              <w:rPr>
                <w:rFonts w:ascii="Verdana" w:hAnsi="Verdana"/>
              </w:rPr>
              <w:t>) in adult patients who are anti-acetylcholine receptor (</w:t>
            </w:r>
            <w:proofErr w:type="spellStart"/>
            <w:r w:rsidRPr="00807B26">
              <w:rPr>
                <w:rFonts w:ascii="Verdana" w:hAnsi="Verdana"/>
              </w:rPr>
              <w:t>AChR</w:t>
            </w:r>
            <w:proofErr w:type="spellEnd"/>
            <w:r w:rsidRPr="00807B26">
              <w:rPr>
                <w:rFonts w:ascii="Verdana" w:hAnsi="Verdana"/>
              </w:rPr>
              <w:t>) antibody positive (Ab+).</w:t>
            </w:r>
          </w:p>
        </w:tc>
        <w:tc>
          <w:tcPr>
            <w:tcW w:w="3150" w:type="dxa"/>
          </w:tcPr>
          <w:p w14:paraId="0D7F97A8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Medicare: Non-Formulary</w:t>
            </w:r>
          </w:p>
          <w:p w14:paraId="72E9D14F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Medicaid: Non-Formulary</w:t>
            </w:r>
          </w:p>
          <w:p w14:paraId="0F0FB645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Non-Formulary</w:t>
            </w:r>
          </w:p>
          <w:p w14:paraId="29C895AE" w14:textId="77777777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F2301FD" w14:textId="53F2EC19" w:rsidR="005A5771" w:rsidRPr="00B727CC" w:rsidRDefault="005A5771" w:rsidP="003E5867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</w:tbl>
    <w:p w14:paraId="30725D2E" w14:textId="2E6D7891" w:rsidR="00C36463" w:rsidRPr="00852F8C" w:rsidRDefault="00C36463">
      <w:pPr>
        <w:spacing w:line="200" w:lineRule="exact"/>
        <w:rPr>
          <w:rFonts w:ascii="Verdana" w:hAnsi="Verdana"/>
          <w:sz w:val="20"/>
          <w:szCs w:val="20"/>
        </w:rPr>
      </w:pPr>
    </w:p>
    <w:p w14:paraId="38B717C3" w14:textId="77777777" w:rsidR="00C36463" w:rsidRPr="00B727CC" w:rsidRDefault="00C36463">
      <w:pPr>
        <w:spacing w:line="200" w:lineRule="exact"/>
        <w:rPr>
          <w:rFonts w:ascii="Verdana" w:hAnsi="Verdana"/>
        </w:rPr>
      </w:pPr>
    </w:p>
    <w:p w14:paraId="571B2695" w14:textId="1D225F86" w:rsidR="001B05E8" w:rsidRPr="00B727CC" w:rsidRDefault="000A6E31" w:rsidP="00015A48">
      <w:pPr>
        <w:spacing w:line="200" w:lineRule="exact"/>
        <w:jc w:val="both"/>
        <w:rPr>
          <w:rFonts w:ascii="Verdana" w:eastAsia="Times New Roman" w:hAnsi="Verdana" w:cs="Arial"/>
          <w:b/>
        </w:rPr>
      </w:pPr>
      <w:r w:rsidRPr="00B727CC">
        <w:rPr>
          <w:rFonts w:ascii="Verdana" w:eastAsia="Times New Roman" w:hAnsi="Verdana" w:cs="Arial"/>
          <w:b/>
        </w:rPr>
        <w:t xml:space="preserve">Formulary changes for New Generics, New Indications and Miscellaneous Previously Reviewed drugs are effective </w:t>
      </w:r>
      <w:r w:rsidR="00B727CC" w:rsidRPr="00B727CC">
        <w:rPr>
          <w:rFonts w:ascii="Verdana" w:eastAsia="Times New Roman" w:hAnsi="Verdana" w:cs="Arial"/>
          <w:b/>
        </w:rPr>
        <w:t>10</w:t>
      </w:r>
      <w:r w:rsidR="00BE479A" w:rsidRPr="00B727CC">
        <w:rPr>
          <w:rFonts w:ascii="Verdana" w:eastAsia="Times New Roman" w:hAnsi="Verdana" w:cs="Arial"/>
          <w:b/>
        </w:rPr>
        <w:t>/01</w:t>
      </w:r>
      <w:r w:rsidRPr="00B727CC">
        <w:rPr>
          <w:rFonts w:ascii="Verdana" w:eastAsia="Times New Roman" w:hAnsi="Verdana" w:cs="Arial"/>
          <w:b/>
        </w:rPr>
        <w:t>/202</w:t>
      </w:r>
      <w:r w:rsidR="0081196F" w:rsidRPr="00B727CC">
        <w:rPr>
          <w:rFonts w:ascii="Verdana" w:eastAsia="Times New Roman" w:hAnsi="Verdana" w:cs="Arial"/>
          <w:b/>
        </w:rPr>
        <w:t>4</w:t>
      </w:r>
      <w:r w:rsidRPr="00B727CC">
        <w:rPr>
          <w:rFonts w:ascii="Verdana" w:eastAsia="Times New Roman" w:hAnsi="Verdana" w:cs="Arial"/>
          <w:b/>
        </w:rPr>
        <w:t>.</w:t>
      </w:r>
    </w:p>
    <w:p w14:paraId="4909B206" w14:textId="77777777" w:rsidR="001B05E8" w:rsidRPr="00852F8C" w:rsidRDefault="001B05E8" w:rsidP="006B16C1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153FC2" w:rsidRPr="00852F8C" w14:paraId="2C07B094" w14:textId="77777777" w:rsidTr="00D9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71E652E9" w14:textId="77777777" w:rsidR="004C5F89" w:rsidRPr="00852F8C" w:rsidRDefault="00153FC2" w:rsidP="005247AA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0" w:name="_Hlk98851985"/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Indications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674"/>
        <w:gridCol w:w="4088"/>
        <w:gridCol w:w="4155"/>
      </w:tblGrid>
      <w:tr w:rsidR="004F2F90" w:rsidRPr="00852F8C" w14:paraId="4B7C4753" w14:textId="77777777" w:rsidTr="00166739">
        <w:trPr>
          <w:trHeight w:val="566"/>
        </w:trPr>
        <w:tc>
          <w:tcPr>
            <w:tcW w:w="2674" w:type="dxa"/>
          </w:tcPr>
          <w:p w14:paraId="48E65DDF" w14:textId="5B200CEC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088" w:type="dxa"/>
          </w:tcPr>
          <w:p w14:paraId="48AC1C2A" w14:textId="4EC1C9F5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Current formulary status</w:t>
            </w:r>
          </w:p>
        </w:tc>
        <w:tc>
          <w:tcPr>
            <w:tcW w:w="4155" w:type="dxa"/>
          </w:tcPr>
          <w:p w14:paraId="0DC14B8E" w14:textId="39AC6804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bookmarkEnd w:id="0"/>
      <w:tr w:rsidR="00075402" w:rsidRPr="00852F8C" w14:paraId="1B56CDD1" w14:textId="77777777" w:rsidTr="00166739">
        <w:tc>
          <w:tcPr>
            <w:tcW w:w="2674" w:type="dxa"/>
            <w:shd w:val="clear" w:color="auto" w:fill="auto"/>
          </w:tcPr>
          <w:p w14:paraId="79C91297" w14:textId="1EE4C0AA" w:rsidR="00075402" w:rsidRPr="00852F8C" w:rsidRDefault="00075402" w:rsidP="00075402">
            <w:pPr>
              <w:rPr>
                <w:rFonts w:ascii="Verdana" w:hAnsi="Verdana"/>
                <w:sz w:val="20"/>
                <w:szCs w:val="20"/>
              </w:rPr>
            </w:pPr>
            <w:r w:rsidRPr="00CF20F6">
              <w:rPr>
                <w:rFonts w:ascii="Verdana" w:hAnsi="Verdana"/>
                <w:b/>
                <w:bCs/>
              </w:rPr>
              <w:t>Fasenra</w:t>
            </w:r>
            <w:r w:rsidRPr="00CF20F6">
              <w:rPr>
                <w:rFonts w:ascii="Verdana" w:hAnsi="Verdana"/>
              </w:rPr>
              <w:t xml:space="preserve"> (</w:t>
            </w:r>
            <w:proofErr w:type="spellStart"/>
            <w:r w:rsidRPr="00CF20F6">
              <w:rPr>
                <w:rFonts w:ascii="Verdana" w:hAnsi="Verdana"/>
              </w:rPr>
              <w:t>benralizumab</w:t>
            </w:r>
            <w:proofErr w:type="spellEnd"/>
            <w:r w:rsidRPr="00CF20F6">
              <w:rPr>
                <w:rFonts w:ascii="Verdana" w:hAnsi="Verdana"/>
              </w:rPr>
              <w:t>) 10 mg/0.5 mL &amp; 30 mg/mL prefilled syringes (medical benefit) and 30 mg/mL autoinjector pen (pharmacy benefit) for severe asthma with eosinophilic phenotype in patients ≥ 6 years age expansion</w:t>
            </w:r>
          </w:p>
        </w:tc>
        <w:tc>
          <w:tcPr>
            <w:tcW w:w="4088" w:type="dxa"/>
            <w:shd w:val="clear" w:color="auto" w:fill="auto"/>
          </w:tcPr>
          <w:p w14:paraId="7E16FBC7" w14:textId="40CC443C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– F</w:t>
            </w:r>
          </w:p>
          <w:p w14:paraId="31DB2A16" w14:textId="1E15B213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4155" w:type="dxa"/>
            <w:shd w:val="clear" w:color="auto" w:fill="auto"/>
          </w:tcPr>
          <w:p w14:paraId="687708E5" w14:textId="6C33D19C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FEA51F4" w14:textId="3503BEF9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40C03084" w14:textId="77777777" w:rsidTr="00166739">
        <w:trPr>
          <w:trHeight w:val="503"/>
        </w:trPr>
        <w:tc>
          <w:tcPr>
            <w:tcW w:w="2674" w:type="dxa"/>
            <w:shd w:val="clear" w:color="auto" w:fill="auto"/>
          </w:tcPr>
          <w:p w14:paraId="48BFF8EC" w14:textId="77777777" w:rsidR="00075402" w:rsidRPr="00CF20F6" w:rsidRDefault="00075402" w:rsidP="00075402">
            <w:pPr>
              <w:rPr>
                <w:rFonts w:ascii="Verdana" w:hAnsi="Verdana"/>
              </w:rPr>
            </w:pPr>
            <w:proofErr w:type="spellStart"/>
            <w:r w:rsidRPr="00CF20F6">
              <w:rPr>
                <w:rFonts w:ascii="Verdana" w:hAnsi="Verdana"/>
                <w:b/>
                <w:bCs/>
              </w:rPr>
              <w:t>Edurant</w:t>
            </w:r>
            <w:proofErr w:type="spellEnd"/>
            <w:r w:rsidRPr="00CF20F6">
              <w:rPr>
                <w:rFonts w:ascii="Verdana" w:hAnsi="Verdana"/>
              </w:rPr>
              <w:t xml:space="preserve"> (</w:t>
            </w:r>
            <w:proofErr w:type="spellStart"/>
            <w:r w:rsidRPr="00CF20F6">
              <w:rPr>
                <w:rFonts w:ascii="Verdana" w:hAnsi="Verdana"/>
              </w:rPr>
              <w:t>rilpivirine</w:t>
            </w:r>
            <w:proofErr w:type="spellEnd"/>
            <w:r w:rsidRPr="00CF20F6">
              <w:rPr>
                <w:rFonts w:ascii="Verdana" w:hAnsi="Verdana"/>
              </w:rPr>
              <w:t xml:space="preserve">) 25 mg tablets and </w:t>
            </w:r>
            <w:proofErr w:type="spellStart"/>
            <w:r w:rsidRPr="00CF20F6">
              <w:rPr>
                <w:rFonts w:ascii="Verdana" w:hAnsi="Verdana"/>
              </w:rPr>
              <w:lastRenderedPageBreak/>
              <w:t>Edurant</w:t>
            </w:r>
            <w:proofErr w:type="spellEnd"/>
            <w:r w:rsidRPr="00CF20F6">
              <w:rPr>
                <w:rFonts w:ascii="Verdana" w:hAnsi="Verdana"/>
              </w:rPr>
              <w:t xml:space="preserve"> Ped (</w:t>
            </w:r>
            <w:proofErr w:type="spellStart"/>
            <w:r w:rsidRPr="00CF20F6">
              <w:rPr>
                <w:rFonts w:ascii="Verdana" w:hAnsi="Verdana"/>
              </w:rPr>
              <w:t>rilpivirine</w:t>
            </w:r>
            <w:proofErr w:type="spellEnd"/>
            <w:r w:rsidRPr="00CF20F6">
              <w:rPr>
                <w:rFonts w:ascii="Verdana" w:hAnsi="Verdana"/>
              </w:rPr>
              <w:t xml:space="preserve">) 2.5 mg tablets for oral suspension for HIV-1 in patients ≥ 2 years age expansion </w:t>
            </w:r>
          </w:p>
          <w:p w14:paraId="6C228C09" w14:textId="000E8AEB" w:rsidR="00075402" w:rsidRPr="00852F8C" w:rsidRDefault="00075402" w:rsidP="00075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</w:tcPr>
          <w:p w14:paraId="62A47D9A" w14:textId="776278C0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–F, PPO – F, Medicaid – F, HIX – F</w:t>
            </w:r>
          </w:p>
          <w:p w14:paraId="04632F8E" w14:textId="38C9CF0D" w:rsidR="00075402" w:rsidRPr="00AF03AD" w:rsidRDefault="00075402" w:rsidP="00075402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375DE30A" w14:textId="65590F28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No change</w:t>
            </w:r>
          </w:p>
          <w:p w14:paraId="6C241ED8" w14:textId="19003A50" w:rsidR="00075402" w:rsidRPr="00AF03AD" w:rsidRDefault="00075402" w:rsidP="00075402">
            <w:pPr>
              <w:rPr>
                <w:rFonts w:ascii="Verdana" w:hAnsi="Verdana"/>
              </w:rPr>
            </w:pPr>
          </w:p>
        </w:tc>
      </w:tr>
      <w:tr w:rsidR="00075402" w:rsidRPr="00852F8C" w14:paraId="7403E543" w14:textId="77777777" w:rsidTr="00166739">
        <w:tc>
          <w:tcPr>
            <w:tcW w:w="2674" w:type="dxa"/>
            <w:shd w:val="clear" w:color="auto" w:fill="auto"/>
          </w:tcPr>
          <w:p w14:paraId="07BD544C" w14:textId="77777777" w:rsidR="00075402" w:rsidRPr="00CF20F6" w:rsidRDefault="00075402" w:rsidP="00075402">
            <w:pPr>
              <w:rPr>
                <w:rFonts w:ascii="Verdana" w:hAnsi="Verdana"/>
              </w:rPr>
            </w:pPr>
            <w:r w:rsidRPr="00CF20F6">
              <w:rPr>
                <w:rFonts w:ascii="Verdana" w:hAnsi="Verdana"/>
                <w:b/>
                <w:bCs/>
              </w:rPr>
              <w:t>Otezla</w:t>
            </w:r>
            <w:r w:rsidRPr="00CF20F6">
              <w:rPr>
                <w:rFonts w:ascii="Verdana" w:hAnsi="Verdana"/>
              </w:rPr>
              <w:t xml:space="preserve"> (apremilast) 10, 20, &amp; 30 mg tablets for plaque psoriasis in patients ≥ 6 years age expansion </w:t>
            </w:r>
          </w:p>
          <w:p w14:paraId="28120F19" w14:textId="48F3FD69" w:rsidR="00075402" w:rsidRPr="00852F8C" w:rsidRDefault="00075402" w:rsidP="00075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</w:tcPr>
          <w:p w14:paraId="263320EC" w14:textId="4FDBB2E4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–NF, Medicaid – P, HIX –F</w:t>
            </w:r>
          </w:p>
          <w:p w14:paraId="57D9EF13" w14:textId="77A907C7" w:rsidR="00075402" w:rsidRPr="00AF03AD" w:rsidRDefault="00075402" w:rsidP="00075402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BA66E00" w14:textId="755CEF2B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5EB58032" w14:textId="1F03B6C9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7F7B60B7" w14:textId="77777777" w:rsidTr="00166739">
        <w:tc>
          <w:tcPr>
            <w:tcW w:w="2674" w:type="dxa"/>
            <w:shd w:val="clear" w:color="auto" w:fill="auto"/>
          </w:tcPr>
          <w:p w14:paraId="0557A3EE" w14:textId="77777777" w:rsidR="00075402" w:rsidRPr="00CF20F6" w:rsidRDefault="00075402" w:rsidP="0007540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CF20F6">
              <w:rPr>
                <w:rFonts w:ascii="Verdana" w:hAnsi="Verdana"/>
                <w:b/>
                <w:bCs/>
                <w:sz w:val="22"/>
                <w:szCs w:val="22"/>
              </w:rPr>
              <w:t>Alecensa</w:t>
            </w:r>
            <w:proofErr w:type="spellEnd"/>
            <w:r w:rsidRPr="00CF20F6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CF20F6">
              <w:rPr>
                <w:rFonts w:ascii="Verdana" w:hAnsi="Verdana"/>
                <w:sz w:val="22"/>
                <w:szCs w:val="22"/>
              </w:rPr>
              <w:t>alectinib</w:t>
            </w:r>
            <w:proofErr w:type="spellEnd"/>
            <w:r w:rsidRPr="00CF20F6">
              <w:rPr>
                <w:rFonts w:ascii="Verdana" w:hAnsi="Verdana"/>
                <w:sz w:val="22"/>
                <w:szCs w:val="22"/>
              </w:rPr>
              <w:t xml:space="preserve">) for adjuvant treatment following tumor resection of anaplastic lymphoma kinase (ALK)-positive non-small cell lung cancer (NSCLC) </w:t>
            </w:r>
          </w:p>
          <w:p w14:paraId="547F3925" w14:textId="534D8D25" w:rsidR="00075402" w:rsidRPr="006E7EE6" w:rsidRDefault="00075402" w:rsidP="00075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</w:tcPr>
          <w:p w14:paraId="05A044DC" w14:textId="4B285D4F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– F</w:t>
            </w:r>
          </w:p>
          <w:p w14:paraId="2FC01962" w14:textId="0F11B9BE" w:rsidR="00075402" w:rsidRPr="00AF03AD" w:rsidRDefault="00075402" w:rsidP="00075402">
            <w:pPr>
              <w:spacing w:after="240"/>
              <w:rPr>
                <w:rFonts w:ascii="Verdana" w:eastAsia="Times New Roman" w:hAnsi="Verdana" w:cs="Arial"/>
              </w:rPr>
            </w:pPr>
          </w:p>
        </w:tc>
        <w:tc>
          <w:tcPr>
            <w:tcW w:w="4155" w:type="dxa"/>
            <w:shd w:val="clear" w:color="auto" w:fill="auto"/>
          </w:tcPr>
          <w:p w14:paraId="65484D3D" w14:textId="5B87B420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779A8F60" w14:textId="06EB5F60" w:rsidR="00075402" w:rsidRPr="00AF03AD" w:rsidRDefault="00075402" w:rsidP="00075402">
            <w:pPr>
              <w:spacing w:after="240"/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72856C60" w14:textId="77777777" w:rsidTr="00166739">
        <w:tc>
          <w:tcPr>
            <w:tcW w:w="2674" w:type="dxa"/>
            <w:shd w:val="clear" w:color="auto" w:fill="auto"/>
          </w:tcPr>
          <w:p w14:paraId="0E389D68" w14:textId="28289CC7" w:rsidR="00075402" w:rsidRPr="00CF20F6" w:rsidRDefault="00075402" w:rsidP="00075402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CF20F6">
              <w:rPr>
                <w:rFonts w:ascii="Verdana" w:hAnsi="Verdana"/>
                <w:b/>
                <w:bCs/>
                <w:sz w:val="22"/>
                <w:szCs w:val="22"/>
              </w:rPr>
              <w:t>Rinvoq</w:t>
            </w:r>
            <w:proofErr w:type="spellEnd"/>
            <w:r w:rsidRPr="00CF20F6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CF20F6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CF20F6">
              <w:rPr>
                <w:rFonts w:ascii="Verdana" w:hAnsi="Verdana"/>
                <w:sz w:val="22"/>
                <w:szCs w:val="22"/>
              </w:rPr>
              <w:t>upadacitinib</w:t>
            </w:r>
            <w:proofErr w:type="spellEnd"/>
            <w:r w:rsidRPr="00CF20F6">
              <w:rPr>
                <w:rFonts w:ascii="Verdana" w:hAnsi="Verdana"/>
                <w:sz w:val="22"/>
                <w:szCs w:val="22"/>
              </w:rPr>
              <w:t xml:space="preserve">) </w:t>
            </w:r>
            <w:r w:rsidRPr="00CF20F6">
              <w:rPr>
                <w:rFonts w:ascii="Verdana" w:hAnsi="Verdana"/>
                <w:b/>
                <w:bCs/>
                <w:sz w:val="22"/>
                <w:szCs w:val="22"/>
              </w:rPr>
              <w:t>15 mg ER tablets</w:t>
            </w:r>
            <w:r w:rsidRPr="00CF20F6">
              <w:rPr>
                <w:rFonts w:ascii="Verdana" w:hAnsi="Verdana"/>
                <w:sz w:val="22"/>
                <w:szCs w:val="22"/>
              </w:rPr>
              <w:t xml:space="preserve"> for active polyarticular juvenile idiopathic arthritis in patients ≥ 2 years &amp; psoriatic arthritis in patients ≥ 2 years age expansion </w:t>
            </w:r>
          </w:p>
          <w:p w14:paraId="38BEAD85" w14:textId="612CB069" w:rsidR="00075402" w:rsidRPr="006E7EE6" w:rsidRDefault="00075402" w:rsidP="000754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</w:tcPr>
          <w:p w14:paraId="677CE090" w14:textId="0D87A1BB" w:rsidR="00075402" w:rsidRPr="00AF03AD" w:rsidRDefault="00075402" w:rsidP="00075402">
            <w:pPr>
              <w:rPr>
                <w:rFonts w:ascii="Verdana" w:hAnsi="Verdana"/>
              </w:rPr>
            </w:pPr>
            <w:r w:rsidRPr="00166739">
              <w:rPr>
                <w:rFonts w:ascii="Verdana" w:hAnsi="Verdana"/>
              </w:rPr>
              <w:t>Medicare –F</w:t>
            </w:r>
            <w:r w:rsidRPr="00AF03AD">
              <w:rPr>
                <w:rFonts w:ascii="Verdana" w:hAnsi="Verdana"/>
              </w:rPr>
              <w:t xml:space="preserve">, PPO – F, Medicaid – </w:t>
            </w:r>
            <w:r w:rsidR="00BE6EB6" w:rsidRPr="00AF03AD">
              <w:rPr>
                <w:rFonts w:ascii="Verdana" w:hAnsi="Verdana"/>
              </w:rPr>
              <w:t>NP/N</w:t>
            </w:r>
            <w:r w:rsidRPr="00AF03AD">
              <w:rPr>
                <w:rFonts w:ascii="Verdana" w:hAnsi="Verdana"/>
              </w:rPr>
              <w:t>F, HIX – F</w:t>
            </w:r>
          </w:p>
          <w:p w14:paraId="0613AA00" w14:textId="77777777" w:rsidR="00075402" w:rsidRPr="00AF03AD" w:rsidRDefault="00075402" w:rsidP="00075402">
            <w:pPr>
              <w:spacing w:after="240"/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0A1AC3F" w14:textId="5EDAEA84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B6D7DF1" w14:textId="77777777" w:rsidR="00075402" w:rsidRPr="00AF03AD" w:rsidRDefault="00075402" w:rsidP="00075402">
            <w:pPr>
              <w:spacing w:after="240"/>
              <w:rPr>
                <w:rFonts w:ascii="Verdana" w:hAnsi="Verdana"/>
              </w:rPr>
            </w:pPr>
          </w:p>
        </w:tc>
      </w:tr>
      <w:tr w:rsidR="00166739" w:rsidRPr="00852F8C" w14:paraId="6AFA6694" w14:textId="77777777" w:rsidTr="00166739">
        <w:tc>
          <w:tcPr>
            <w:tcW w:w="2674" w:type="dxa"/>
            <w:shd w:val="clear" w:color="auto" w:fill="auto"/>
          </w:tcPr>
          <w:p w14:paraId="1DC8526B" w14:textId="77777777" w:rsidR="00166739" w:rsidRPr="00166739" w:rsidRDefault="00166739" w:rsidP="00166739">
            <w:pPr>
              <w:rPr>
                <w:rFonts w:ascii="Verdana" w:hAnsi="Verdana"/>
              </w:rPr>
            </w:pPr>
            <w:proofErr w:type="spellStart"/>
            <w:r w:rsidRPr="00166739">
              <w:rPr>
                <w:rFonts w:ascii="Verdana" w:hAnsi="Verdana"/>
                <w:b/>
                <w:bCs/>
              </w:rPr>
              <w:t>Rinvoq</w:t>
            </w:r>
            <w:proofErr w:type="spellEnd"/>
            <w:r w:rsidRPr="00166739">
              <w:rPr>
                <w:rFonts w:ascii="Verdana" w:hAnsi="Verdana"/>
                <w:b/>
                <w:bCs/>
              </w:rPr>
              <w:t xml:space="preserve"> </w:t>
            </w:r>
            <w:r w:rsidRPr="00166739">
              <w:rPr>
                <w:rFonts w:ascii="Verdana" w:hAnsi="Verdana"/>
              </w:rPr>
              <w:t>(</w:t>
            </w:r>
            <w:proofErr w:type="spellStart"/>
            <w:r w:rsidRPr="00166739">
              <w:rPr>
                <w:rFonts w:ascii="Verdana" w:hAnsi="Verdana"/>
              </w:rPr>
              <w:t>upadacitinib</w:t>
            </w:r>
            <w:proofErr w:type="spellEnd"/>
            <w:r w:rsidRPr="00166739">
              <w:rPr>
                <w:rFonts w:ascii="Verdana" w:hAnsi="Verdana"/>
              </w:rPr>
              <w:t xml:space="preserve">) </w:t>
            </w:r>
            <w:r w:rsidRPr="00166739">
              <w:rPr>
                <w:rFonts w:ascii="Verdana" w:hAnsi="Verdana"/>
                <w:b/>
                <w:bCs/>
              </w:rPr>
              <w:t>1 mg/mL</w:t>
            </w:r>
            <w:r w:rsidRPr="00166739">
              <w:rPr>
                <w:rFonts w:ascii="Verdana" w:hAnsi="Verdana"/>
              </w:rPr>
              <w:t xml:space="preserve"> </w:t>
            </w:r>
            <w:r w:rsidRPr="00166739">
              <w:rPr>
                <w:rFonts w:ascii="Verdana" w:hAnsi="Verdana"/>
                <w:b/>
                <w:bCs/>
              </w:rPr>
              <w:t>oral solution</w:t>
            </w:r>
            <w:r w:rsidRPr="00166739">
              <w:rPr>
                <w:rFonts w:ascii="Verdana" w:hAnsi="Verdana"/>
              </w:rPr>
              <w:t xml:space="preserve"> for active polyarticular juvenile idiopathic arthritis in patients ≥ 2 years &amp; psoriatic arthritis in patients ≥ 2 years age expansion </w:t>
            </w:r>
          </w:p>
          <w:p w14:paraId="1A56E124" w14:textId="77777777" w:rsidR="00166739" w:rsidRPr="00CF20F6" w:rsidRDefault="00166739" w:rsidP="00166739">
            <w:pPr>
              <w:pStyle w:val="Defaul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</w:tcPr>
          <w:p w14:paraId="41C46399" w14:textId="6616DC09" w:rsidR="00166739" w:rsidRPr="00AF03AD" w:rsidRDefault="00166739" w:rsidP="00166739">
            <w:pPr>
              <w:rPr>
                <w:rFonts w:ascii="Verdana" w:hAnsi="Verdana"/>
              </w:rPr>
            </w:pPr>
            <w:r w:rsidRPr="00166739">
              <w:rPr>
                <w:rFonts w:ascii="Verdana" w:hAnsi="Verdana"/>
              </w:rPr>
              <w:t>Medicare –</w:t>
            </w:r>
            <w:r>
              <w:rPr>
                <w:rFonts w:ascii="Verdana" w:hAnsi="Verdana"/>
              </w:rPr>
              <w:t xml:space="preserve"> N</w:t>
            </w:r>
            <w:r w:rsidRPr="00166739">
              <w:rPr>
                <w:rFonts w:ascii="Verdana" w:hAnsi="Verdana"/>
              </w:rPr>
              <w:t>F</w:t>
            </w:r>
            <w:r w:rsidRPr="00AF03AD">
              <w:rPr>
                <w:rFonts w:ascii="Verdana" w:hAnsi="Verdana"/>
              </w:rPr>
              <w:t>, PPO – NF, Medicaid – NP/NF, HIX – F</w:t>
            </w:r>
          </w:p>
          <w:p w14:paraId="1207E7EA" w14:textId="77777777" w:rsidR="00166739" w:rsidRPr="007E4E57" w:rsidRDefault="00166739" w:rsidP="00166739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4155" w:type="dxa"/>
            <w:shd w:val="clear" w:color="auto" w:fill="auto"/>
          </w:tcPr>
          <w:p w14:paraId="07937692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5458BA92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17CA87CD" w14:textId="77777777" w:rsidTr="00166739">
        <w:tc>
          <w:tcPr>
            <w:tcW w:w="2674" w:type="dxa"/>
            <w:shd w:val="clear" w:color="auto" w:fill="auto"/>
          </w:tcPr>
          <w:p w14:paraId="2CFB5E3F" w14:textId="77777777" w:rsidR="00166739" w:rsidRPr="00CF20F6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CF20F6">
              <w:rPr>
                <w:rFonts w:ascii="Verdana" w:hAnsi="Verdana"/>
                <w:b/>
                <w:bCs/>
                <w:sz w:val="22"/>
                <w:szCs w:val="22"/>
              </w:rPr>
              <w:t>Arexvy</w:t>
            </w:r>
            <w:proofErr w:type="spellEnd"/>
            <w:r w:rsidRPr="00CF20F6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CF20F6">
              <w:rPr>
                <w:rFonts w:ascii="Verdana" w:hAnsi="Verdana"/>
                <w:sz w:val="22"/>
                <w:szCs w:val="22"/>
              </w:rPr>
              <w:t xml:space="preserve">(Respiratory Syncytial Virus Vaccine, Adjuvanted) </w:t>
            </w:r>
            <w:r w:rsidRPr="00CF20F6">
              <w:rPr>
                <w:rFonts w:ascii="Verdana" w:hAnsi="Verdana"/>
                <w:sz w:val="22"/>
                <w:szCs w:val="22"/>
              </w:rPr>
              <w:lastRenderedPageBreak/>
              <w:t xml:space="preserve">120 mcg/0.5 mL for individuals 50-59 years of age at increased risk for LRTD caused by </w:t>
            </w:r>
            <w:proofErr w:type="gramStart"/>
            <w:r w:rsidRPr="00CF20F6">
              <w:rPr>
                <w:rFonts w:ascii="Verdana" w:hAnsi="Verdana"/>
                <w:sz w:val="22"/>
                <w:szCs w:val="22"/>
              </w:rPr>
              <w:t>RSV</w:t>
            </w:r>
            <w:proofErr w:type="gramEnd"/>
            <w:r w:rsidRPr="00CF20F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9CC1936" w14:textId="0A78A289" w:rsidR="00166739" w:rsidRPr="00BD0C1E" w:rsidRDefault="00166739" w:rsidP="001667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</w:tcPr>
          <w:p w14:paraId="4630ECAC" w14:textId="3BA810EF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–F, PPO – F, Medicaid – F, HIX - F</w:t>
            </w:r>
          </w:p>
          <w:p w14:paraId="6123F80A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  <w:p w14:paraId="55F02075" w14:textId="77777777" w:rsidR="00166739" w:rsidRPr="00AF03AD" w:rsidRDefault="00166739" w:rsidP="00166739">
            <w:pPr>
              <w:spacing w:after="240"/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4CA50C5" w14:textId="49859912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No change</w:t>
            </w:r>
          </w:p>
          <w:p w14:paraId="6C2E9D22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  <w:p w14:paraId="7819FB4C" w14:textId="77777777" w:rsidR="00166739" w:rsidRPr="00AF03AD" w:rsidRDefault="00166739" w:rsidP="00166739">
            <w:pPr>
              <w:spacing w:after="240"/>
              <w:rPr>
                <w:rFonts w:ascii="Verdana" w:hAnsi="Verdana"/>
              </w:rPr>
            </w:pPr>
          </w:p>
        </w:tc>
      </w:tr>
      <w:tr w:rsidR="00166739" w:rsidRPr="00852F8C" w14:paraId="7FD52854" w14:textId="77777777" w:rsidTr="00166739">
        <w:tc>
          <w:tcPr>
            <w:tcW w:w="2674" w:type="dxa"/>
            <w:shd w:val="clear" w:color="auto" w:fill="auto"/>
          </w:tcPr>
          <w:p w14:paraId="425B6AF5" w14:textId="77777777" w:rsidR="00166739" w:rsidRPr="00CF20F6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CF20F6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Motpoly</w:t>
            </w:r>
            <w:proofErr w:type="spellEnd"/>
            <w:r w:rsidRPr="00CF20F6">
              <w:rPr>
                <w:rFonts w:ascii="Verdana" w:hAnsi="Verdana"/>
                <w:b/>
                <w:bCs/>
                <w:sz w:val="22"/>
                <w:szCs w:val="22"/>
              </w:rPr>
              <w:t xml:space="preserve"> XR </w:t>
            </w:r>
            <w:r w:rsidRPr="00CF20F6">
              <w:rPr>
                <w:rFonts w:ascii="Verdana" w:hAnsi="Verdana"/>
                <w:sz w:val="22"/>
                <w:szCs w:val="22"/>
              </w:rPr>
              <w:t>(lacosamide) 100, 150, &amp; 200 mg ER capsules for primary generalized tonic-</w:t>
            </w:r>
            <w:proofErr w:type="spellStart"/>
            <w:r w:rsidRPr="00CF20F6">
              <w:rPr>
                <w:rFonts w:ascii="Verdana" w:hAnsi="Verdana"/>
                <w:sz w:val="22"/>
                <w:szCs w:val="22"/>
              </w:rPr>
              <w:t>clonic</w:t>
            </w:r>
            <w:proofErr w:type="spellEnd"/>
            <w:r w:rsidRPr="00CF20F6">
              <w:rPr>
                <w:rFonts w:ascii="Verdana" w:hAnsi="Verdana"/>
                <w:sz w:val="22"/>
                <w:szCs w:val="22"/>
              </w:rPr>
              <w:t xml:space="preserve"> seizures </w:t>
            </w:r>
          </w:p>
          <w:p w14:paraId="71BB1DA5" w14:textId="510014F2" w:rsidR="00166739" w:rsidRPr="00BD0C1E" w:rsidRDefault="00166739" w:rsidP="001667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</w:tcPr>
          <w:p w14:paraId="53E7DFA2" w14:textId="0D50BA6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NP, HIX - NF</w:t>
            </w:r>
          </w:p>
          <w:p w14:paraId="5C0E5872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  <w:p w14:paraId="326D34FC" w14:textId="77777777" w:rsidR="00166739" w:rsidRPr="00AF03AD" w:rsidRDefault="00166739" w:rsidP="00166739">
            <w:pPr>
              <w:spacing w:after="240"/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985B9D4" w14:textId="6A0C1C1D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22966CB5" w14:textId="77777777" w:rsidR="00166739" w:rsidRPr="00AF03AD" w:rsidRDefault="00166739" w:rsidP="00166739">
            <w:pPr>
              <w:spacing w:after="240"/>
              <w:rPr>
                <w:rFonts w:ascii="Verdana" w:hAnsi="Verdana"/>
              </w:rPr>
            </w:pPr>
          </w:p>
        </w:tc>
      </w:tr>
      <w:tr w:rsidR="00166739" w:rsidRPr="00852F8C" w14:paraId="4C1157FE" w14:textId="77777777" w:rsidTr="00166739">
        <w:tc>
          <w:tcPr>
            <w:tcW w:w="2674" w:type="dxa"/>
            <w:shd w:val="clear" w:color="auto" w:fill="auto"/>
          </w:tcPr>
          <w:p w14:paraId="48230B33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Farxiga</w:t>
            </w:r>
            <w:proofErr w:type="spellEnd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30792C">
              <w:rPr>
                <w:rFonts w:ascii="Verdana" w:hAnsi="Verdana"/>
                <w:sz w:val="22"/>
                <w:szCs w:val="22"/>
              </w:rPr>
              <w:t xml:space="preserve">(dapagliflozin) 5 &amp; 10 mg tablets and 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Xigduo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XR (dapagliflozin-metformin ER) 2.5-1000, 5-500, 5-1000, 10-500, &amp; 10-1000 mg tablets for type 2 diabetes in patients ≥ 10 years age expansion </w:t>
            </w:r>
          </w:p>
          <w:p w14:paraId="2987B41C" w14:textId="0B306414" w:rsidR="00166739" w:rsidRPr="00BD0C1E" w:rsidRDefault="00166739" w:rsidP="001667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</w:tcPr>
          <w:p w14:paraId="3499C764" w14:textId="4F5296D4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P/NP, HIX - F</w:t>
            </w:r>
          </w:p>
          <w:p w14:paraId="56156AB1" w14:textId="334A091B" w:rsidR="00166739" w:rsidRPr="00AF03AD" w:rsidRDefault="00166739" w:rsidP="00166739">
            <w:pPr>
              <w:spacing w:after="240"/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87A7CE3" w14:textId="5F1A5E84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EAADDF2" w14:textId="77777777" w:rsidR="00166739" w:rsidRPr="00AF03AD" w:rsidRDefault="00166739" w:rsidP="00166739">
            <w:pPr>
              <w:spacing w:after="240"/>
              <w:rPr>
                <w:rFonts w:ascii="Verdana" w:hAnsi="Verdana"/>
              </w:rPr>
            </w:pPr>
          </w:p>
        </w:tc>
      </w:tr>
      <w:tr w:rsidR="00166739" w:rsidRPr="00852F8C" w14:paraId="21A8E4DC" w14:textId="77777777" w:rsidTr="00166739">
        <w:tc>
          <w:tcPr>
            <w:tcW w:w="2674" w:type="dxa"/>
            <w:shd w:val="clear" w:color="auto" w:fill="auto"/>
          </w:tcPr>
          <w:p w14:paraId="67609F17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Kevzara</w:t>
            </w:r>
            <w:r w:rsidRPr="0030792C">
              <w:rPr>
                <w:rFonts w:ascii="Verdana" w:hAnsi="Verdana"/>
                <w:sz w:val="22"/>
                <w:szCs w:val="22"/>
              </w:rPr>
              <w:t xml:space="preserve"> (sarilumab) 150 mg/1.14 mL &amp; 200 mg/1.14 mL prefilled syringe &amp; pen for 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pJIA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0475C968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437B5A18" w14:textId="415E6EA3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NP, HIX - NF</w:t>
            </w:r>
          </w:p>
          <w:p w14:paraId="35BC5E98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81F0F4B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685AF75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5D030395" w14:textId="77777777" w:rsidTr="00166739">
        <w:tc>
          <w:tcPr>
            <w:tcW w:w="2674" w:type="dxa"/>
            <w:shd w:val="clear" w:color="auto" w:fill="auto"/>
          </w:tcPr>
          <w:p w14:paraId="7CE2438D" w14:textId="57AD44D1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</w:rPr>
              <w:t>Retevmo</w:t>
            </w:r>
            <w:proofErr w:type="spellEnd"/>
            <w:r w:rsidRPr="0030792C">
              <w:rPr>
                <w:rFonts w:ascii="Verdana" w:hAnsi="Verdana"/>
              </w:rPr>
              <w:t xml:space="preserve"> (</w:t>
            </w:r>
            <w:proofErr w:type="spellStart"/>
            <w:r w:rsidRPr="0030792C">
              <w:rPr>
                <w:rFonts w:ascii="Verdana" w:hAnsi="Verdana"/>
              </w:rPr>
              <w:t>selpercatinib</w:t>
            </w:r>
            <w:proofErr w:type="spellEnd"/>
            <w:r w:rsidRPr="0030792C">
              <w:rPr>
                <w:rFonts w:ascii="Verdana" w:hAnsi="Verdana"/>
              </w:rPr>
              <w:t xml:space="preserve">) 40 &amp; 80 mg capsules for thyroid cancer &amp; solid tumors in patients ≥ 2 years age expansion </w:t>
            </w:r>
          </w:p>
        </w:tc>
        <w:tc>
          <w:tcPr>
            <w:tcW w:w="4088" w:type="dxa"/>
            <w:shd w:val="clear" w:color="auto" w:fill="auto"/>
          </w:tcPr>
          <w:p w14:paraId="6E3C2501" w14:textId="392C4B11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- F</w:t>
            </w:r>
          </w:p>
          <w:p w14:paraId="0F468338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A9A7A0C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F24ACB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215003E8" w14:textId="77777777" w:rsidTr="00166739">
        <w:tc>
          <w:tcPr>
            <w:tcW w:w="2674" w:type="dxa"/>
            <w:shd w:val="clear" w:color="auto" w:fill="auto"/>
          </w:tcPr>
          <w:p w14:paraId="15B298CD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Skyrizi</w:t>
            </w:r>
            <w:proofErr w:type="spellEnd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30792C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risankizumab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) 150 mg/mL, 180 mg/1.2 mL, &amp; 360 mg/2.4 mL SQ formulations and 60 mg/mL IV solution for ulcerative colitis </w:t>
            </w:r>
          </w:p>
          <w:p w14:paraId="3947B66E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146492D9" w14:textId="6768CA2B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NP, HIX - F</w:t>
            </w:r>
          </w:p>
          <w:p w14:paraId="0F2E68CA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3491B58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276C42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7C8936F3" w14:textId="77777777" w:rsidTr="00166739">
        <w:tc>
          <w:tcPr>
            <w:tcW w:w="2674" w:type="dxa"/>
            <w:shd w:val="clear" w:color="auto" w:fill="auto"/>
          </w:tcPr>
          <w:p w14:paraId="370E0AF4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Wakix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pitolisant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) 4.45 &amp; 17.8 mg tablets for excessive daytime sleepiness in patients ≥ 6 years with narcolepsy age expansion </w:t>
            </w:r>
          </w:p>
          <w:p w14:paraId="04859285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71624F7E" w14:textId="2BB78000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NF, HIX - NF</w:t>
            </w:r>
          </w:p>
          <w:p w14:paraId="1352B64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6AAB18B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727CA4F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503A1F1B" w14:textId="77777777" w:rsidTr="00166739">
        <w:tc>
          <w:tcPr>
            <w:tcW w:w="2674" w:type="dxa"/>
            <w:shd w:val="clear" w:color="auto" w:fill="auto"/>
          </w:tcPr>
          <w:p w14:paraId="60C840D9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Krazati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adagrasib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) 200 mg tablet for colorectal cancer </w:t>
            </w:r>
          </w:p>
          <w:p w14:paraId="67CE7B4A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63908B9C" w14:textId="17D255FB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- F</w:t>
            </w:r>
          </w:p>
          <w:p w14:paraId="775CC2C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0D6A12A4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CA9915B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2CADF6B0" w14:textId="77777777" w:rsidTr="00166739">
        <w:tc>
          <w:tcPr>
            <w:tcW w:w="2674" w:type="dxa"/>
            <w:shd w:val="clear" w:color="auto" w:fill="auto"/>
          </w:tcPr>
          <w:p w14:paraId="28DD91C9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Augtyro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repotrectinib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) 40 mg capsules for NTRK-positive solid tumors </w:t>
            </w:r>
          </w:p>
          <w:p w14:paraId="00C80469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3B48BCCF" w14:textId="24D5F879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- F</w:t>
            </w:r>
          </w:p>
          <w:p w14:paraId="145DE978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3959DBD8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71D25258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638DFFF4" w14:textId="77777777" w:rsidTr="00166739">
        <w:tc>
          <w:tcPr>
            <w:tcW w:w="2674" w:type="dxa"/>
            <w:shd w:val="clear" w:color="auto" w:fill="auto"/>
          </w:tcPr>
          <w:p w14:paraId="59A1309F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Velphoro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sucroferric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oxyhydroxide) 500 mg chewable tablets for control of serum phosphorous in patients ≥ 9 years age expansion </w:t>
            </w:r>
          </w:p>
          <w:p w14:paraId="176AFBA5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70802292" w14:textId="5A872E6D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NP, HIX - NF</w:t>
            </w:r>
          </w:p>
          <w:p w14:paraId="7E44B3B7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753C522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2CAF7E53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5B870A6E" w14:textId="77777777" w:rsidTr="00166739">
        <w:tc>
          <w:tcPr>
            <w:tcW w:w="2674" w:type="dxa"/>
            <w:shd w:val="clear" w:color="auto" w:fill="auto"/>
          </w:tcPr>
          <w:p w14:paraId="66A805F6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Voquezna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vonoprazan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) 10 mg tablets for the relief of heartburn associated with non-erosive gastroesophageal reflux in </w:t>
            </w:r>
            <w:proofErr w:type="gramStart"/>
            <w:r w:rsidRPr="0030792C">
              <w:rPr>
                <w:rFonts w:ascii="Verdana" w:hAnsi="Verdana"/>
                <w:sz w:val="22"/>
                <w:szCs w:val="22"/>
              </w:rPr>
              <w:t>adults</w:t>
            </w:r>
            <w:proofErr w:type="gramEnd"/>
            <w:r w:rsidRPr="0030792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2C75D2D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7EBB1EEA" w14:textId="79873D59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NF, HIX - NF</w:t>
            </w:r>
          </w:p>
          <w:p w14:paraId="254E5700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3BE971E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496C51B3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41427A31" w14:textId="77777777" w:rsidTr="00166739">
        <w:tc>
          <w:tcPr>
            <w:tcW w:w="2674" w:type="dxa"/>
            <w:shd w:val="clear" w:color="auto" w:fill="auto"/>
          </w:tcPr>
          <w:p w14:paraId="2E56784A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Kisqali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ribociclib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) 200 mg tablets for adults with HR-positive HER2-negative advanced or metastatic breast cancer indication expansion </w:t>
            </w:r>
          </w:p>
          <w:p w14:paraId="010818CE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6B9DFC27" w14:textId="21630481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–F, PPO – F, Medicaid – F, HIX - F</w:t>
            </w:r>
          </w:p>
          <w:p w14:paraId="2EAC4F1C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71B85E12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2363A876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06575FEF" w14:textId="77777777" w:rsidTr="00166739">
        <w:tc>
          <w:tcPr>
            <w:tcW w:w="2674" w:type="dxa"/>
            <w:shd w:val="clear" w:color="auto" w:fill="auto"/>
          </w:tcPr>
          <w:p w14:paraId="3C972716" w14:textId="610819BB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</w:rPr>
              <w:t>Mircera</w:t>
            </w:r>
            <w:proofErr w:type="spellEnd"/>
            <w:r w:rsidRPr="0030792C">
              <w:rPr>
                <w:rFonts w:ascii="Verdana" w:hAnsi="Verdana"/>
              </w:rPr>
              <w:t xml:space="preserve"> (methoxy polyethylene glycol-epoetin beta) 30, 50, </w:t>
            </w:r>
            <w:r w:rsidRPr="0030792C">
              <w:rPr>
                <w:rFonts w:ascii="Verdana" w:hAnsi="Verdana"/>
              </w:rPr>
              <w:lastRenderedPageBreak/>
              <w:t xml:space="preserve">75, 100, 120, 150, 200, 250, &amp; 360 mcg prefilled syringes for anemia of CKD in patients ≥ 3 months age &amp; indication expansion </w:t>
            </w:r>
          </w:p>
        </w:tc>
        <w:tc>
          <w:tcPr>
            <w:tcW w:w="4088" w:type="dxa"/>
            <w:shd w:val="clear" w:color="auto" w:fill="auto"/>
          </w:tcPr>
          <w:p w14:paraId="26DF5BD5" w14:textId="11ACE38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–NF, PPO – NF, Medicaid – NF, HIX - NF</w:t>
            </w:r>
          </w:p>
          <w:p w14:paraId="0DC33FD3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8FDC243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6744A6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6669B4CE" w14:textId="77777777" w:rsidTr="00166739">
        <w:tc>
          <w:tcPr>
            <w:tcW w:w="2674" w:type="dxa"/>
            <w:shd w:val="clear" w:color="auto" w:fill="auto"/>
          </w:tcPr>
          <w:p w14:paraId="39813456" w14:textId="004A261F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</w:rPr>
              <w:t>Blincyto</w:t>
            </w:r>
            <w:proofErr w:type="spellEnd"/>
            <w:r w:rsidRPr="0030792C">
              <w:rPr>
                <w:rFonts w:ascii="Verdana" w:hAnsi="Verdana"/>
              </w:rPr>
              <w:t xml:space="preserve"> (blinatumomab) 35 mcg vials for IV infusion for CD19-positive Philadelphia chromosome-negative B-cell precursor ALL in the consolidation phase of multiphase chemotherapy </w:t>
            </w:r>
          </w:p>
        </w:tc>
        <w:tc>
          <w:tcPr>
            <w:tcW w:w="4088" w:type="dxa"/>
            <w:shd w:val="clear" w:color="auto" w:fill="auto"/>
          </w:tcPr>
          <w:p w14:paraId="3E63C716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NF, HIX - NF</w:t>
            </w:r>
          </w:p>
          <w:p w14:paraId="2CC18E47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4A126991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87BF4C4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34B68DC2" w14:textId="77777777" w:rsidTr="00166739">
        <w:tc>
          <w:tcPr>
            <w:tcW w:w="2674" w:type="dxa"/>
            <w:shd w:val="clear" w:color="auto" w:fill="auto"/>
          </w:tcPr>
          <w:p w14:paraId="17D13A9A" w14:textId="5A690DC9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  <w:r w:rsidRPr="0030792C">
              <w:rPr>
                <w:rFonts w:ascii="Verdana" w:hAnsi="Verdana"/>
                <w:b/>
                <w:bCs/>
              </w:rPr>
              <w:t>Imfinzi</w:t>
            </w:r>
            <w:r w:rsidRPr="0030792C">
              <w:rPr>
                <w:rFonts w:ascii="Verdana" w:hAnsi="Verdana"/>
              </w:rPr>
              <w:t xml:space="preserve"> (durvalumab) 50 mg/mL IV solution for primary advanced or recurrent endometrial cancer following treatment with carboplatin and paclitaxel </w:t>
            </w:r>
          </w:p>
        </w:tc>
        <w:tc>
          <w:tcPr>
            <w:tcW w:w="4088" w:type="dxa"/>
            <w:shd w:val="clear" w:color="auto" w:fill="auto"/>
          </w:tcPr>
          <w:p w14:paraId="2F881F47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NF, HIX - NF</w:t>
            </w:r>
          </w:p>
          <w:p w14:paraId="50C1E662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3F68C8BA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9B01F89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475A2232" w14:textId="77777777" w:rsidTr="00166739">
        <w:tc>
          <w:tcPr>
            <w:tcW w:w="2674" w:type="dxa"/>
            <w:shd w:val="clear" w:color="auto" w:fill="auto"/>
          </w:tcPr>
          <w:p w14:paraId="67DEB7D8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Epkinly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epcoritamab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) 4 mg/0.8 mL &amp; 48 mg/0.8 mL SQ vials for follicular lymphoma </w:t>
            </w:r>
          </w:p>
          <w:p w14:paraId="078732F7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1424BD30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NF, HIX - NF</w:t>
            </w:r>
          </w:p>
          <w:p w14:paraId="68BAEC5E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31E9545F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60ACCA7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2069C67E" w14:textId="77777777" w:rsidTr="00166739">
        <w:tc>
          <w:tcPr>
            <w:tcW w:w="2674" w:type="dxa"/>
            <w:shd w:val="clear" w:color="auto" w:fill="auto"/>
          </w:tcPr>
          <w:p w14:paraId="14F09349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 xml:space="preserve">Erbitux </w:t>
            </w:r>
            <w:r w:rsidRPr="0030792C">
              <w:rPr>
                <w:rFonts w:ascii="Verdana" w:hAnsi="Verdana"/>
                <w:sz w:val="22"/>
                <w:szCs w:val="22"/>
              </w:rPr>
              <w:t xml:space="preserve">(cetuximab) 2 mg/mL IV solution for colorectal cancer </w:t>
            </w:r>
          </w:p>
          <w:p w14:paraId="6463A74B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7123E177" w14:textId="37332570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NP, HIX - NF</w:t>
            </w:r>
          </w:p>
          <w:p w14:paraId="5E15DEA2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5F56A151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80AC665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6FE71691" w14:textId="77777777" w:rsidTr="00166739">
        <w:tc>
          <w:tcPr>
            <w:tcW w:w="2674" w:type="dxa"/>
            <w:shd w:val="clear" w:color="auto" w:fill="auto"/>
          </w:tcPr>
          <w:p w14:paraId="0FF51EC9" w14:textId="0F59AB52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</w:rPr>
              <w:t>Jemperli</w:t>
            </w:r>
            <w:proofErr w:type="spellEnd"/>
            <w:r w:rsidRPr="0030792C">
              <w:rPr>
                <w:rFonts w:ascii="Verdana" w:hAnsi="Verdana"/>
                <w:b/>
                <w:bCs/>
              </w:rPr>
              <w:t xml:space="preserve"> </w:t>
            </w:r>
            <w:r w:rsidRPr="0030792C">
              <w:rPr>
                <w:rFonts w:ascii="Verdana" w:hAnsi="Verdana"/>
              </w:rPr>
              <w:t>(</w:t>
            </w:r>
            <w:proofErr w:type="spellStart"/>
            <w:r w:rsidRPr="0030792C">
              <w:rPr>
                <w:rFonts w:ascii="Verdana" w:hAnsi="Verdana"/>
              </w:rPr>
              <w:t>dostarlimab</w:t>
            </w:r>
            <w:proofErr w:type="spellEnd"/>
            <w:r w:rsidRPr="0030792C">
              <w:rPr>
                <w:rFonts w:ascii="Verdana" w:hAnsi="Verdana"/>
              </w:rPr>
              <w:t xml:space="preserve">) 50 mg/mL IV vial for endometrial cancer updated indication </w:t>
            </w:r>
          </w:p>
        </w:tc>
        <w:tc>
          <w:tcPr>
            <w:tcW w:w="4088" w:type="dxa"/>
            <w:shd w:val="clear" w:color="auto" w:fill="auto"/>
          </w:tcPr>
          <w:p w14:paraId="0E953D4A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Medicare –NF, PPO – NF, Medicaid – NF, HIX - NF</w:t>
            </w:r>
          </w:p>
          <w:p w14:paraId="49AACF20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9779458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8D8CAC1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  <w:tr w:rsidR="00166739" w:rsidRPr="00852F8C" w14:paraId="3A7C031B" w14:textId="77777777" w:rsidTr="00166739">
        <w:tc>
          <w:tcPr>
            <w:tcW w:w="2674" w:type="dxa"/>
            <w:shd w:val="clear" w:color="auto" w:fill="auto"/>
          </w:tcPr>
          <w:p w14:paraId="428FFF6C" w14:textId="77777777" w:rsidR="00166739" w:rsidRPr="0030792C" w:rsidRDefault="00166739" w:rsidP="00166739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0792C">
              <w:rPr>
                <w:rFonts w:ascii="Verdana" w:hAnsi="Verdana"/>
                <w:b/>
                <w:bCs/>
                <w:sz w:val="22"/>
                <w:szCs w:val="22"/>
              </w:rPr>
              <w:t>Xeomin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30792C">
              <w:rPr>
                <w:rFonts w:ascii="Verdana" w:hAnsi="Verdana"/>
                <w:sz w:val="22"/>
                <w:szCs w:val="22"/>
              </w:rPr>
              <w:t>incobotulinumtoxinA</w:t>
            </w:r>
            <w:proofErr w:type="spellEnd"/>
            <w:r w:rsidRPr="0030792C">
              <w:rPr>
                <w:rFonts w:ascii="Verdana" w:hAnsi="Verdana"/>
                <w:sz w:val="22"/>
                <w:szCs w:val="22"/>
              </w:rPr>
              <w:t xml:space="preserve">) </w:t>
            </w:r>
            <w:proofErr w:type="gramStart"/>
            <w:r w:rsidRPr="0030792C">
              <w:rPr>
                <w:rFonts w:ascii="Verdana" w:hAnsi="Verdana"/>
                <w:sz w:val="22"/>
                <w:szCs w:val="22"/>
              </w:rPr>
              <w:t>50, 100, &amp; 200 unit</w:t>
            </w:r>
            <w:proofErr w:type="gramEnd"/>
            <w:r w:rsidRPr="0030792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0792C">
              <w:rPr>
                <w:rFonts w:ascii="Verdana" w:hAnsi="Verdana"/>
                <w:sz w:val="22"/>
                <w:szCs w:val="22"/>
              </w:rPr>
              <w:lastRenderedPageBreak/>
              <w:t xml:space="preserve">vials for temporary improvement in the appearance of upper facial lines </w:t>
            </w:r>
          </w:p>
          <w:p w14:paraId="3D7CDFD3" w14:textId="77777777" w:rsidR="00166739" w:rsidRPr="0030792C" w:rsidRDefault="00166739" w:rsidP="00166739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088" w:type="dxa"/>
            <w:shd w:val="clear" w:color="auto" w:fill="auto"/>
          </w:tcPr>
          <w:p w14:paraId="0E5CF0F7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>Medicare –NF, PPO – NF, Medicaid – NF, HIX - NF</w:t>
            </w:r>
          </w:p>
          <w:p w14:paraId="7AA36DA0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4155" w:type="dxa"/>
            <w:shd w:val="clear" w:color="auto" w:fill="auto"/>
          </w:tcPr>
          <w:p w14:paraId="1B82A75F" w14:textId="77777777" w:rsidR="00166739" w:rsidRPr="00AF03AD" w:rsidRDefault="00166739" w:rsidP="00166739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AB19A5E" w14:textId="77777777" w:rsidR="00166739" w:rsidRPr="00AF03AD" w:rsidRDefault="00166739" w:rsidP="00166739">
            <w:pPr>
              <w:rPr>
                <w:rFonts w:ascii="Verdana" w:hAnsi="Verdana"/>
              </w:rPr>
            </w:pPr>
          </w:p>
        </w:tc>
      </w:tr>
    </w:tbl>
    <w:p w14:paraId="0671F897" w14:textId="3AD8DE7D" w:rsidR="007D1D6A" w:rsidRPr="00852F8C" w:rsidRDefault="007D1D6A" w:rsidP="003628BE">
      <w:pPr>
        <w:rPr>
          <w:rFonts w:ascii="Verdana" w:eastAsia="Times New Roman" w:hAnsi="Verdana" w:cs="Arial"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4971A5" w:rsidRPr="00852F8C" w14:paraId="26EAAAF1" w14:textId="77777777" w:rsidTr="001C6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34B53623" w14:textId="79C97540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Generics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20"/>
        <w:gridCol w:w="4262"/>
        <w:gridCol w:w="4135"/>
      </w:tblGrid>
      <w:tr w:rsidR="004971A5" w:rsidRPr="00852F8C" w14:paraId="3AC4146F" w14:textId="77777777" w:rsidTr="001C6EB3">
        <w:trPr>
          <w:trHeight w:val="566"/>
        </w:trPr>
        <w:tc>
          <w:tcPr>
            <w:tcW w:w="2520" w:type="dxa"/>
          </w:tcPr>
          <w:p w14:paraId="13ACAB4E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262" w:type="dxa"/>
          </w:tcPr>
          <w:p w14:paraId="62349B50" w14:textId="20D15088" w:rsidR="004971A5" w:rsidRPr="00AB22E9" w:rsidRDefault="00AB22E9" w:rsidP="001C6EB3">
            <w:pPr>
              <w:spacing w:after="240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B22E9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Rationale/Alternative</w:t>
            </w:r>
          </w:p>
        </w:tc>
        <w:tc>
          <w:tcPr>
            <w:tcW w:w="4135" w:type="dxa"/>
          </w:tcPr>
          <w:p w14:paraId="17372CF3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tr w:rsidR="00941DB4" w:rsidRPr="006547A2" w14:paraId="5ACE4110" w14:textId="77777777" w:rsidTr="001C6EB3">
        <w:tc>
          <w:tcPr>
            <w:tcW w:w="2520" w:type="dxa"/>
            <w:shd w:val="clear" w:color="auto" w:fill="auto"/>
          </w:tcPr>
          <w:p w14:paraId="0F50BBF8" w14:textId="26380B9A" w:rsidR="00941DB4" w:rsidRPr="006547A2" w:rsidRDefault="00AF03AD" w:rsidP="00941DB4">
            <w:pPr>
              <w:rPr>
                <w:rFonts w:ascii="Verdana" w:hAnsi="Verdana" w:cs="Arial"/>
              </w:rPr>
            </w:pPr>
            <w:proofErr w:type="spellStart"/>
            <w:r w:rsidRPr="00AF03AD">
              <w:rPr>
                <w:rFonts w:ascii="Verdana" w:hAnsi="Verdana" w:cs="Arial"/>
                <w:b/>
                <w:bCs/>
              </w:rPr>
              <w:t>Cyltezo</w:t>
            </w:r>
            <w:proofErr w:type="spellEnd"/>
            <w:r w:rsidRPr="00AF03AD">
              <w:rPr>
                <w:rFonts w:ascii="Verdana" w:hAnsi="Verdana" w:cs="Arial"/>
              </w:rPr>
              <w:t xml:space="preserve"> (adalimumab-</w:t>
            </w:r>
            <w:proofErr w:type="spellStart"/>
            <w:r w:rsidRPr="00AF03AD">
              <w:rPr>
                <w:rFonts w:ascii="Verdana" w:hAnsi="Verdana" w:cs="Arial"/>
              </w:rPr>
              <w:t>adbm</w:t>
            </w:r>
            <w:proofErr w:type="spellEnd"/>
            <w:r w:rsidRPr="00AF03AD">
              <w:rPr>
                <w:rFonts w:ascii="Verdana" w:hAnsi="Verdana" w:cs="Arial"/>
              </w:rPr>
              <w:t xml:space="preserve">) and </w:t>
            </w:r>
            <w:r w:rsidRPr="00AF03AD">
              <w:rPr>
                <w:rFonts w:ascii="Verdana" w:hAnsi="Verdana" w:cs="Arial"/>
                <w:b/>
                <w:bCs/>
              </w:rPr>
              <w:t>Adalimumab-</w:t>
            </w:r>
            <w:proofErr w:type="spellStart"/>
            <w:r w:rsidRPr="00AF03AD">
              <w:rPr>
                <w:rFonts w:ascii="Verdana" w:hAnsi="Verdana" w:cs="Arial"/>
                <w:b/>
                <w:bCs/>
              </w:rPr>
              <w:t>adbm</w:t>
            </w:r>
            <w:proofErr w:type="spellEnd"/>
            <w:r w:rsidRPr="00AF03AD">
              <w:rPr>
                <w:rFonts w:ascii="Verdana" w:hAnsi="Verdana" w:cs="Arial"/>
              </w:rPr>
              <w:t xml:space="preserve"> 40 mg/0.4 mL autoinjector kits for various inflammatory conditions </w:t>
            </w:r>
          </w:p>
        </w:tc>
        <w:tc>
          <w:tcPr>
            <w:tcW w:w="4262" w:type="dxa"/>
            <w:shd w:val="clear" w:color="auto" w:fill="auto"/>
          </w:tcPr>
          <w:p w14:paraId="0A7423A0" w14:textId="2C572520" w:rsidR="00AF03AD" w:rsidRPr="00AF03AD" w:rsidRDefault="00AF03AD" w:rsidP="00AF03AD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N</w:t>
            </w:r>
            <w:r w:rsidRPr="00AF03AD">
              <w:rPr>
                <w:rFonts w:ascii="Verdana" w:hAnsi="Verdana"/>
              </w:rPr>
              <w:t xml:space="preserve">ew high-concentration formulation. Not part of current </w:t>
            </w:r>
            <w:proofErr w:type="spellStart"/>
            <w:r w:rsidRPr="00AF03AD">
              <w:rPr>
                <w:rFonts w:ascii="Verdana" w:hAnsi="Verdana"/>
              </w:rPr>
              <w:t>MedD</w:t>
            </w:r>
            <w:proofErr w:type="spellEnd"/>
            <w:r w:rsidRPr="00AF03AD">
              <w:rPr>
                <w:rFonts w:ascii="Verdana" w:hAnsi="Verdana"/>
              </w:rPr>
              <w:t xml:space="preserve">/IFP adalimumab strategy. PDL </w:t>
            </w:r>
            <w:proofErr w:type="gramStart"/>
            <w:r w:rsidRPr="00AF03AD">
              <w:rPr>
                <w:rFonts w:ascii="Verdana" w:hAnsi="Verdana"/>
              </w:rPr>
              <w:t>controlled</w:t>
            </w:r>
            <w:proofErr w:type="gramEnd"/>
          </w:p>
          <w:p w14:paraId="2747E42C" w14:textId="5A7C16C6" w:rsidR="00941DB4" w:rsidRPr="006547A2" w:rsidRDefault="00941DB4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0C0945FA" w14:textId="72787CDD" w:rsidR="00941DB4" w:rsidRPr="006547A2" w:rsidRDefault="00941DB4" w:rsidP="00941D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</w:t>
            </w:r>
            <w:r w:rsidR="00AF03AD" w:rsidRPr="006547A2">
              <w:rPr>
                <w:rFonts w:ascii="Verdana" w:hAnsi="Verdana"/>
              </w:rPr>
              <w:t>P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941DB4" w:rsidRPr="006547A2" w14:paraId="153DEB7E" w14:textId="77777777" w:rsidTr="001C6EB3">
        <w:tc>
          <w:tcPr>
            <w:tcW w:w="2520" w:type="dxa"/>
            <w:shd w:val="clear" w:color="auto" w:fill="auto"/>
          </w:tcPr>
          <w:p w14:paraId="0FDA7E69" w14:textId="076E3501" w:rsidR="00941DB4" w:rsidRPr="006547A2" w:rsidRDefault="00AF03AD" w:rsidP="00941DB4">
            <w:pPr>
              <w:rPr>
                <w:rFonts w:ascii="Verdana" w:hAnsi="Verdana" w:cs="Arial"/>
              </w:rPr>
            </w:pPr>
            <w:proofErr w:type="spellStart"/>
            <w:r w:rsidRPr="00AF03AD">
              <w:rPr>
                <w:rFonts w:ascii="Verdana" w:hAnsi="Verdana" w:cs="Arial"/>
              </w:rPr>
              <w:t>Emflaza</w:t>
            </w:r>
            <w:proofErr w:type="spellEnd"/>
            <w:r w:rsidRPr="00AF03AD">
              <w:rPr>
                <w:rFonts w:ascii="Verdana" w:hAnsi="Verdana" w:cs="Arial"/>
              </w:rPr>
              <w:t xml:space="preserve"> (</w:t>
            </w:r>
            <w:r w:rsidRPr="00AF03AD">
              <w:rPr>
                <w:rFonts w:ascii="Verdana" w:hAnsi="Verdana" w:cs="Arial"/>
                <w:b/>
                <w:bCs/>
              </w:rPr>
              <w:t>deflazacort</w:t>
            </w:r>
            <w:r w:rsidRPr="00AF03AD">
              <w:rPr>
                <w:rFonts w:ascii="Verdana" w:hAnsi="Verdana" w:cs="Arial"/>
              </w:rPr>
              <w:t xml:space="preserve">) 22.75 mg/mL oral suspension for Duchenne muscular dystrophy </w:t>
            </w:r>
          </w:p>
        </w:tc>
        <w:tc>
          <w:tcPr>
            <w:tcW w:w="4262" w:type="dxa"/>
            <w:shd w:val="clear" w:color="auto" w:fill="auto"/>
          </w:tcPr>
          <w:p w14:paraId="040E8C8F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High-cost product. Little benefit over prednisone</w:t>
            </w:r>
          </w:p>
          <w:p w14:paraId="4C302C2E" w14:textId="5ECEA2A7" w:rsidR="00941DB4" w:rsidRPr="006547A2" w:rsidRDefault="00941DB4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54C56EEC" w14:textId="2B4E7685" w:rsidR="00941DB4" w:rsidRPr="006547A2" w:rsidRDefault="00941DB4" w:rsidP="00941D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</w:t>
            </w:r>
            <w:r w:rsidR="00AF03AD" w:rsidRPr="006547A2">
              <w:rPr>
                <w:rFonts w:ascii="Verdana" w:hAnsi="Verdana"/>
              </w:rPr>
              <w:t>NF</w:t>
            </w:r>
            <w:r w:rsidRPr="006547A2">
              <w:rPr>
                <w:rFonts w:ascii="Verdana" w:hAnsi="Verdana"/>
              </w:rPr>
              <w:t>, HIX: NF</w:t>
            </w:r>
          </w:p>
          <w:p w14:paraId="6F1BB6BA" w14:textId="370E23BA" w:rsidR="00941DB4" w:rsidRPr="006547A2" w:rsidRDefault="00941DB4" w:rsidP="00941DB4">
            <w:pPr>
              <w:rPr>
                <w:rFonts w:ascii="Verdana" w:hAnsi="Verdana"/>
              </w:rPr>
            </w:pPr>
          </w:p>
        </w:tc>
      </w:tr>
      <w:tr w:rsidR="00941DB4" w:rsidRPr="006547A2" w14:paraId="466104D0" w14:textId="77777777" w:rsidTr="001C6EB3">
        <w:tc>
          <w:tcPr>
            <w:tcW w:w="2520" w:type="dxa"/>
            <w:shd w:val="clear" w:color="auto" w:fill="auto"/>
          </w:tcPr>
          <w:p w14:paraId="471AAA8F" w14:textId="75D4F142" w:rsidR="00941DB4" w:rsidRPr="006547A2" w:rsidRDefault="00AF03AD" w:rsidP="00941DB4">
            <w:pPr>
              <w:rPr>
                <w:rFonts w:ascii="Verdana" w:hAnsi="Verdana" w:cs="Arial"/>
              </w:rPr>
            </w:pPr>
            <w:r w:rsidRPr="00AF03AD">
              <w:rPr>
                <w:rFonts w:ascii="Verdana" w:hAnsi="Verdana" w:cs="Arial"/>
                <w:b/>
                <w:bCs/>
              </w:rPr>
              <w:t>Liraglutide</w:t>
            </w:r>
            <w:r w:rsidRPr="00AF03AD">
              <w:rPr>
                <w:rFonts w:ascii="Verdana" w:hAnsi="Verdana" w:cs="Arial"/>
              </w:rPr>
              <w:t xml:space="preserve"> 18 mg/3 mL pens for type 2 diabetes (Victoza AG) </w:t>
            </w:r>
          </w:p>
        </w:tc>
        <w:tc>
          <w:tcPr>
            <w:tcW w:w="4262" w:type="dxa"/>
            <w:shd w:val="clear" w:color="auto" w:fill="auto"/>
          </w:tcPr>
          <w:p w14:paraId="1853490C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 xml:space="preserve">Victoza contracting prohibits adding for </w:t>
            </w:r>
            <w:proofErr w:type="spellStart"/>
            <w:r w:rsidRPr="00AF03AD">
              <w:rPr>
                <w:rFonts w:ascii="Verdana" w:hAnsi="Verdana"/>
              </w:rPr>
              <w:t>MedD</w:t>
            </w:r>
            <w:proofErr w:type="spellEnd"/>
            <w:r w:rsidRPr="00AF03AD">
              <w:rPr>
                <w:rFonts w:ascii="Verdana" w:hAnsi="Verdana"/>
              </w:rPr>
              <w:t>/IFP</w:t>
            </w:r>
          </w:p>
          <w:p w14:paraId="650E1CBE" w14:textId="44FCC345" w:rsidR="00941DB4" w:rsidRPr="006547A2" w:rsidRDefault="00AF03AD" w:rsidP="00941DB4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Added for Medicaid</w:t>
            </w:r>
          </w:p>
        </w:tc>
        <w:tc>
          <w:tcPr>
            <w:tcW w:w="4135" w:type="dxa"/>
            <w:shd w:val="clear" w:color="auto" w:fill="auto"/>
          </w:tcPr>
          <w:p w14:paraId="4B78095A" w14:textId="4D97CF6E" w:rsidR="00941DB4" w:rsidRPr="006547A2" w:rsidRDefault="00941DB4" w:rsidP="00941D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</w:t>
            </w:r>
            <w:r w:rsidR="00AF03AD" w:rsidRPr="006547A2">
              <w:rPr>
                <w:rFonts w:ascii="Verdana" w:hAnsi="Verdana"/>
              </w:rPr>
              <w:t>AD</w:t>
            </w:r>
            <w:r w:rsidRPr="006547A2">
              <w:rPr>
                <w:rFonts w:ascii="Verdana" w:hAnsi="Verdana"/>
              </w:rPr>
              <w:t>, HIX: NF</w:t>
            </w:r>
          </w:p>
          <w:p w14:paraId="69719B55" w14:textId="547AA93D" w:rsidR="00941DB4" w:rsidRPr="006547A2" w:rsidRDefault="00941DB4" w:rsidP="00941DB4">
            <w:pPr>
              <w:rPr>
                <w:rFonts w:ascii="Verdana" w:hAnsi="Verdana"/>
              </w:rPr>
            </w:pPr>
          </w:p>
        </w:tc>
      </w:tr>
      <w:tr w:rsidR="00941DB4" w:rsidRPr="006547A2" w14:paraId="097E7538" w14:textId="77777777" w:rsidTr="001C6EB3">
        <w:tc>
          <w:tcPr>
            <w:tcW w:w="2520" w:type="dxa"/>
            <w:shd w:val="clear" w:color="auto" w:fill="auto"/>
          </w:tcPr>
          <w:p w14:paraId="3DEBB748" w14:textId="4BDFAFC6" w:rsidR="00941DB4" w:rsidRPr="006547A2" w:rsidRDefault="00AF03AD" w:rsidP="00941DB4">
            <w:pPr>
              <w:rPr>
                <w:rFonts w:ascii="Verdana" w:hAnsi="Verdana" w:cs="Arial"/>
              </w:rPr>
            </w:pPr>
            <w:proofErr w:type="spellStart"/>
            <w:r w:rsidRPr="00AF03AD">
              <w:rPr>
                <w:rFonts w:ascii="Verdana" w:hAnsi="Verdana" w:cs="Arial"/>
              </w:rPr>
              <w:t>Corlanor</w:t>
            </w:r>
            <w:proofErr w:type="spellEnd"/>
            <w:r w:rsidRPr="00AF03AD">
              <w:rPr>
                <w:rFonts w:ascii="Verdana" w:hAnsi="Verdana" w:cs="Arial"/>
              </w:rPr>
              <w:t xml:space="preserve"> (</w:t>
            </w:r>
            <w:r w:rsidRPr="00AF03AD">
              <w:rPr>
                <w:rFonts w:ascii="Verdana" w:hAnsi="Verdana" w:cs="Arial"/>
                <w:b/>
                <w:bCs/>
              </w:rPr>
              <w:t>ivabradine</w:t>
            </w:r>
            <w:r w:rsidRPr="00AF03AD">
              <w:rPr>
                <w:rFonts w:ascii="Verdana" w:hAnsi="Verdana" w:cs="Arial"/>
              </w:rPr>
              <w:t xml:space="preserve">) 5 &amp; 7 mg tablets for heart failure </w:t>
            </w:r>
          </w:p>
        </w:tc>
        <w:tc>
          <w:tcPr>
            <w:tcW w:w="4262" w:type="dxa"/>
            <w:shd w:val="clear" w:color="auto" w:fill="auto"/>
          </w:tcPr>
          <w:p w14:paraId="59F8C821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Added for Med D and Medicaid</w:t>
            </w:r>
          </w:p>
          <w:p w14:paraId="38226E82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 xml:space="preserve">Brand was not on formulary for </w:t>
            </w:r>
            <w:proofErr w:type="gramStart"/>
            <w:r w:rsidRPr="00AF03AD">
              <w:rPr>
                <w:rFonts w:ascii="Verdana" w:hAnsi="Verdana"/>
              </w:rPr>
              <w:t>IFP</w:t>
            </w:r>
            <w:proofErr w:type="gramEnd"/>
          </w:p>
          <w:p w14:paraId="16E31F99" w14:textId="0FC1A8E2" w:rsidR="00941DB4" w:rsidRPr="006547A2" w:rsidRDefault="00941DB4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21AC44C" w14:textId="2BB20123" w:rsidR="00941DB4" w:rsidRPr="006547A2" w:rsidRDefault="00941DB4" w:rsidP="00941DB4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F, HIX: NF</w:t>
            </w:r>
          </w:p>
          <w:p w14:paraId="223FED47" w14:textId="1D8FD373" w:rsidR="00941DB4" w:rsidRPr="006547A2" w:rsidRDefault="00941DB4" w:rsidP="00941DB4">
            <w:pPr>
              <w:rPr>
                <w:rFonts w:ascii="Verdana" w:hAnsi="Verdana"/>
              </w:rPr>
            </w:pPr>
          </w:p>
        </w:tc>
      </w:tr>
      <w:tr w:rsidR="00941DB4" w:rsidRPr="006547A2" w14:paraId="22504A76" w14:textId="77777777" w:rsidTr="001C6EB3">
        <w:tc>
          <w:tcPr>
            <w:tcW w:w="2520" w:type="dxa"/>
            <w:shd w:val="clear" w:color="auto" w:fill="auto"/>
          </w:tcPr>
          <w:p w14:paraId="69BBF7BE" w14:textId="4F1CD98F" w:rsidR="00941DB4" w:rsidRPr="006547A2" w:rsidRDefault="00AF03AD" w:rsidP="00941DB4">
            <w:pPr>
              <w:rPr>
                <w:rFonts w:ascii="Verdana" w:hAnsi="Verdana" w:cs="Arial"/>
              </w:rPr>
            </w:pPr>
            <w:proofErr w:type="spellStart"/>
            <w:r w:rsidRPr="00AF03AD">
              <w:rPr>
                <w:rFonts w:ascii="Verdana" w:hAnsi="Verdana" w:cs="Arial"/>
                <w:b/>
                <w:bCs/>
              </w:rPr>
              <w:t>Tyenne</w:t>
            </w:r>
            <w:proofErr w:type="spellEnd"/>
            <w:r w:rsidRPr="00AF03AD">
              <w:rPr>
                <w:rFonts w:ascii="Verdana" w:hAnsi="Verdana" w:cs="Arial"/>
              </w:rPr>
              <w:t xml:space="preserve"> (tocilizumab) 162 mg/0.9 mL SQ autoinjector and prefilled syringe for arthritis (Actemra biosimilar) </w:t>
            </w:r>
          </w:p>
        </w:tc>
        <w:tc>
          <w:tcPr>
            <w:tcW w:w="4262" w:type="dxa"/>
            <w:shd w:val="clear" w:color="auto" w:fill="auto"/>
          </w:tcPr>
          <w:p w14:paraId="060AADD4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 xml:space="preserve">Added for all lines of </w:t>
            </w:r>
            <w:proofErr w:type="gramStart"/>
            <w:r w:rsidRPr="00AF03AD">
              <w:rPr>
                <w:rFonts w:ascii="Verdana" w:hAnsi="Verdana"/>
              </w:rPr>
              <w:t>business</w:t>
            </w:r>
            <w:proofErr w:type="gramEnd"/>
          </w:p>
          <w:p w14:paraId="6B1C1B92" w14:textId="184BEA8A" w:rsidR="00941DB4" w:rsidRPr="006547A2" w:rsidRDefault="00941DB4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03D4C6F3" w14:textId="15B7AB69" w:rsidR="00AB22E9" w:rsidRPr="006547A2" w:rsidRDefault="00AB22E9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F, HIX: F</w:t>
            </w:r>
          </w:p>
          <w:p w14:paraId="305AB14B" w14:textId="77777777" w:rsidR="00941DB4" w:rsidRPr="006547A2" w:rsidRDefault="00941DB4" w:rsidP="00941DB4">
            <w:pPr>
              <w:rPr>
                <w:rFonts w:ascii="Verdana" w:hAnsi="Verdana"/>
              </w:rPr>
            </w:pPr>
          </w:p>
        </w:tc>
      </w:tr>
      <w:tr w:rsidR="00AF03AD" w:rsidRPr="006547A2" w14:paraId="35A63BF4" w14:textId="77777777" w:rsidTr="001C6EB3">
        <w:tc>
          <w:tcPr>
            <w:tcW w:w="2520" w:type="dxa"/>
            <w:shd w:val="clear" w:color="auto" w:fill="auto"/>
          </w:tcPr>
          <w:p w14:paraId="1A12B963" w14:textId="4AF8D495" w:rsidR="00AF03AD" w:rsidRPr="006547A2" w:rsidRDefault="00AF03AD" w:rsidP="00941DB4">
            <w:pPr>
              <w:rPr>
                <w:rFonts w:ascii="Verdana" w:hAnsi="Verdana" w:cs="Arial"/>
              </w:rPr>
            </w:pPr>
            <w:proofErr w:type="spellStart"/>
            <w:r w:rsidRPr="00AF03AD">
              <w:rPr>
                <w:rFonts w:ascii="Verdana" w:hAnsi="Verdana" w:cs="Arial"/>
              </w:rPr>
              <w:t>Endari</w:t>
            </w:r>
            <w:proofErr w:type="spellEnd"/>
            <w:r w:rsidRPr="00AF03AD">
              <w:rPr>
                <w:rFonts w:ascii="Verdana" w:hAnsi="Verdana" w:cs="Arial"/>
              </w:rPr>
              <w:t xml:space="preserve"> (</w:t>
            </w:r>
            <w:r w:rsidRPr="00AF03AD">
              <w:rPr>
                <w:rFonts w:ascii="Verdana" w:hAnsi="Verdana" w:cs="Arial"/>
                <w:b/>
                <w:bCs/>
              </w:rPr>
              <w:t>L-glutamine</w:t>
            </w:r>
            <w:r w:rsidRPr="00AF03AD">
              <w:rPr>
                <w:rFonts w:ascii="Verdana" w:hAnsi="Verdana" w:cs="Arial"/>
              </w:rPr>
              <w:t xml:space="preserve">) </w:t>
            </w:r>
            <w:proofErr w:type="gramStart"/>
            <w:r w:rsidRPr="00AF03AD">
              <w:rPr>
                <w:rFonts w:ascii="Verdana" w:hAnsi="Verdana" w:cs="Arial"/>
              </w:rPr>
              <w:t>5 gram</w:t>
            </w:r>
            <w:proofErr w:type="gramEnd"/>
            <w:r w:rsidRPr="00AF03AD">
              <w:rPr>
                <w:rFonts w:ascii="Verdana" w:hAnsi="Verdana" w:cs="Arial"/>
              </w:rPr>
              <w:t xml:space="preserve"> powder packets for sickle cell disease </w:t>
            </w:r>
          </w:p>
        </w:tc>
        <w:tc>
          <w:tcPr>
            <w:tcW w:w="4262" w:type="dxa"/>
            <w:shd w:val="clear" w:color="auto" w:fill="auto"/>
          </w:tcPr>
          <w:p w14:paraId="4B797DCA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 xml:space="preserve">Added for all lines of </w:t>
            </w:r>
            <w:proofErr w:type="gramStart"/>
            <w:r w:rsidRPr="00AF03AD">
              <w:rPr>
                <w:rFonts w:ascii="Verdana" w:hAnsi="Verdana"/>
              </w:rPr>
              <w:t>business</w:t>
            </w:r>
            <w:proofErr w:type="gramEnd"/>
          </w:p>
          <w:p w14:paraId="5B5EBAC5" w14:textId="77777777" w:rsidR="00AF03AD" w:rsidRPr="006547A2" w:rsidRDefault="00AF03AD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423D9C0" w14:textId="77777777" w:rsidR="00AF03AD" w:rsidRPr="006547A2" w:rsidRDefault="00AF03AD" w:rsidP="00AF03AD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F, HIX: F</w:t>
            </w:r>
          </w:p>
          <w:p w14:paraId="5C2FED0F" w14:textId="77777777" w:rsidR="00AF03AD" w:rsidRPr="006547A2" w:rsidRDefault="00AF03AD" w:rsidP="00AB22E9">
            <w:pPr>
              <w:rPr>
                <w:rFonts w:ascii="Verdana" w:hAnsi="Verdana"/>
              </w:rPr>
            </w:pPr>
          </w:p>
        </w:tc>
      </w:tr>
      <w:tr w:rsidR="00AF03AD" w:rsidRPr="006547A2" w14:paraId="5BFD520E" w14:textId="77777777" w:rsidTr="001C6EB3">
        <w:tc>
          <w:tcPr>
            <w:tcW w:w="2520" w:type="dxa"/>
            <w:shd w:val="clear" w:color="auto" w:fill="auto"/>
          </w:tcPr>
          <w:p w14:paraId="008BA9B7" w14:textId="369DB706" w:rsidR="00AF03AD" w:rsidRPr="006547A2" w:rsidRDefault="00AF03AD" w:rsidP="00941DB4">
            <w:pPr>
              <w:rPr>
                <w:rFonts w:ascii="Verdana" w:hAnsi="Verdana" w:cs="Arial"/>
              </w:rPr>
            </w:pPr>
            <w:r w:rsidRPr="00AF03AD">
              <w:rPr>
                <w:rFonts w:ascii="Verdana" w:hAnsi="Verdana" w:cs="Arial"/>
                <w:b/>
                <w:bCs/>
              </w:rPr>
              <w:t>Adalimumab-</w:t>
            </w:r>
            <w:proofErr w:type="spellStart"/>
            <w:r w:rsidRPr="00AF03AD">
              <w:rPr>
                <w:rFonts w:ascii="Verdana" w:hAnsi="Verdana" w:cs="Arial"/>
                <w:b/>
                <w:bCs/>
              </w:rPr>
              <w:t>fkjp</w:t>
            </w:r>
            <w:proofErr w:type="spellEnd"/>
            <w:r w:rsidRPr="00AF03AD">
              <w:rPr>
                <w:rFonts w:ascii="Verdana" w:hAnsi="Verdana" w:cs="Arial"/>
                <w:b/>
                <w:bCs/>
              </w:rPr>
              <w:t xml:space="preserve"> </w:t>
            </w:r>
            <w:r w:rsidRPr="00AF03AD">
              <w:rPr>
                <w:rFonts w:ascii="Verdana" w:hAnsi="Verdana" w:cs="Arial"/>
              </w:rPr>
              <w:t xml:space="preserve">40 mg/0.8 mL prefilled syringe and </w:t>
            </w:r>
            <w:r w:rsidRPr="00AF03AD">
              <w:rPr>
                <w:rFonts w:ascii="Verdana" w:hAnsi="Verdana" w:cs="Arial"/>
              </w:rPr>
              <w:lastRenderedPageBreak/>
              <w:t>autoinjector for various inflammatory conditions (</w:t>
            </w:r>
            <w:proofErr w:type="spellStart"/>
            <w:r w:rsidRPr="00AF03AD">
              <w:rPr>
                <w:rFonts w:ascii="Verdana" w:hAnsi="Verdana" w:cs="Arial"/>
              </w:rPr>
              <w:t>Hulio</w:t>
            </w:r>
            <w:proofErr w:type="spellEnd"/>
            <w:r w:rsidRPr="00AF03AD">
              <w:rPr>
                <w:rFonts w:ascii="Verdana" w:hAnsi="Verdana" w:cs="Arial"/>
              </w:rPr>
              <w:t xml:space="preserve"> biosimilars) </w:t>
            </w:r>
          </w:p>
        </w:tc>
        <w:tc>
          <w:tcPr>
            <w:tcW w:w="4262" w:type="dxa"/>
            <w:shd w:val="clear" w:color="auto" w:fill="auto"/>
          </w:tcPr>
          <w:p w14:paraId="0CD3DBFB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lastRenderedPageBreak/>
              <w:t xml:space="preserve">Not part of current </w:t>
            </w:r>
            <w:proofErr w:type="spellStart"/>
            <w:r w:rsidRPr="00AF03AD">
              <w:rPr>
                <w:rFonts w:ascii="Verdana" w:hAnsi="Verdana"/>
              </w:rPr>
              <w:t>MedD</w:t>
            </w:r>
            <w:proofErr w:type="spellEnd"/>
            <w:r w:rsidRPr="00AF03AD">
              <w:rPr>
                <w:rFonts w:ascii="Verdana" w:hAnsi="Verdana"/>
              </w:rPr>
              <w:t xml:space="preserve">/IFP adalimumab strategy. PDL </w:t>
            </w:r>
            <w:proofErr w:type="gramStart"/>
            <w:r w:rsidRPr="00AF03AD">
              <w:rPr>
                <w:rFonts w:ascii="Verdana" w:hAnsi="Verdana"/>
              </w:rPr>
              <w:t>controlled</w:t>
            </w:r>
            <w:proofErr w:type="gramEnd"/>
          </w:p>
          <w:p w14:paraId="08FA9272" w14:textId="77777777" w:rsidR="00AF03AD" w:rsidRPr="006547A2" w:rsidRDefault="00AF03AD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0FD0E567" w14:textId="6B86AEDA" w:rsidR="00AF03AD" w:rsidRPr="006547A2" w:rsidRDefault="00AF03AD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lastRenderedPageBreak/>
              <w:t>Medicare: NF, PPO: NF, Medicaid: NP, HIX: NF</w:t>
            </w:r>
          </w:p>
        </w:tc>
      </w:tr>
      <w:tr w:rsidR="00AF03AD" w:rsidRPr="006547A2" w14:paraId="1EE88C20" w14:textId="77777777" w:rsidTr="001C6EB3">
        <w:tc>
          <w:tcPr>
            <w:tcW w:w="2520" w:type="dxa"/>
            <w:shd w:val="clear" w:color="auto" w:fill="auto"/>
          </w:tcPr>
          <w:p w14:paraId="347F1E2C" w14:textId="7BF658C5" w:rsidR="00AF03AD" w:rsidRPr="006547A2" w:rsidRDefault="00AF03AD" w:rsidP="00941DB4">
            <w:pPr>
              <w:rPr>
                <w:rFonts w:ascii="Verdana" w:hAnsi="Verdana" w:cs="Arial"/>
              </w:rPr>
            </w:pPr>
            <w:r w:rsidRPr="00AF03AD">
              <w:rPr>
                <w:rFonts w:ascii="Verdana" w:hAnsi="Verdana" w:cs="Arial"/>
                <w:b/>
                <w:bCs/>
              </w:rPr>
              <w:t>Adalimumab-</w:t>
            </w:r>
            <w:proofErr w:type="spellStart"/>
            <w:r w:rsidRPr="00AF03AD">
              <w:rPr>
                <w:rFonts w:ascii="Verdana" w:hAnsi="Verdana" w:cs="Arial"/>
                <w:b/>
                <w:bCs/>
              </w:rPr>
              <w:t>ryvk</w:t>
            </w:r>
            <w:proofErr w:type="spellEnd"/>
            <w:r w:rsidRPr="00AF03AD">
              <w:rPr>
                <w:rFonts w:ascii="Verdana" w:hAnsi="Verdana" w:cs="Arial"/>
                <w:b/>
                <w:bCs/>
              </w:rPr>
              <w:t xml:space="preserve"> </w:t>
            </w:r>
            <w:r w:rsidRPr="00AF03AD">
              <w:rPr>
                <w:rFonts w:ascii="Verdana" w:hAnsi="Verdana" w:cs="Arial"/>
              </w:rPr>
              <w:t>40 mg/0.4 mL prefilled syringe for various inflammatory conditions (</w:t>
            </w:r>
            <w:proofErr w:type="spellStart"/>
            <w:r w:rsidRPr="00AF03AD">
              <w:rPr>
                <w:rFonts w:ascii="Verdana" w:hAnsi="Verdana" w:cs="Arial"/>
              </w:rPr>
              <w:t>Quallent</w:t>
            </w:r>
            <w:proofErr w:type="spellEnd"/>
            <w:r w:rsidRPr="00AF03AD">
              <w:rPr>
                <w:rFonts w:ascii="Verdana" w:hAnsi="Verdana" w:cs="Arial"/>
              </w:rPr>
              <w:t xml:space="preserve"> manufactured product) </w:t>
            </w:r>
          </w:p>
        </w:tc>
        <w:tc>
          <w:tcPr>
            <w:tcW w:w="4262" w:type="dxa"/>
            <w:shd w:val="clear" w:color="auto" w:fill="auto"/>
          </w:tcPr>
          <w:p w14:paraId="4B43A4BF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 xml:space="preserve">Not part of current </w:t>
            </w:r>
            <w:proofErr w:type="spellStart"/>
            <w:r w:rsidRPr="00AF03AD">
              <w:rPr>
                <w:rFonts w:ascii="Verdana" w:hAnsi="Verdana"/>
              </w:rPr>
              <w:t>MedD</w:t>
            </w:r>
            <w:proofErr w:type="spellEnd"/>
            <w:r w:rsidRPr="00AF03AD">
              <w:rPr>
                <w:rFonts w:ascii="Verdana" w:hAnsi="Verdana"/>
              </w:rPr>
              <w:t xml:space="preserve">/IFP adalimumab strategy. PDL </w:t>
            </w:r>
            <w:proofErr w:type="gramStart"/>
            <w:r w:rsidRPr="00AF03AD">
              <w:rPr>
                <w:rFonts w:ascii="Verdana" w:hAnsi="Verdana"/>
              </w:rPr>
              <w:t>controlled</w:t>
            </w:r>
            <w:proofErr w:type="gramEnd"/>
          </w:p>
          <w:p w14:paraId="0BB53CB4" w14:textId="77777777" w:rsidR="00AF03AD" w:rsidRPr="006547A2" w:rsidRDefault="00AF03AD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2E67A24" w14:textId="6466C8BB" w:rsidR="00AF03AD" w:rsidRPr="006547A2" w:rsidRDefault="00AF03AD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AF03AD" w:rsidRPr="006547A2" w14:paraId="7C515A9A" w14:textId="77777777" w:rsidTr="001C6EB3">
        <w:tc>
          <w:tcPr>
            <w:tcW w:w="2520" w:type="dxa"/>
            <w:shd w:val="clear" w:color="auto" w:fill="auto"/>
          </w:tcPr>
          <w:p w14:paraId="612B53F0" w14:textId="3D7B3637" w:rsidR="00AF03AD" w:rsidRPr="006547A2" w:rsidRDefault="00AF03AD" w:rsidP="00941DB4">
            <w:pPr>
              <w:rPr>
                <w:rFonts w:ascii="Verdana" w:hAnsi="Verdana" w:cs="Arial"/>
              </w:rPr>
            </w:pPr>
            <w:proofErr w:type="spellStart"/>
            <w:r w:rsidRPr="00AF03AD">
              <w:rPr>
                <w:rFonts w:ascii="Verdana" w:hAnsi="Verdana" w:cs="Arial"/>
              </w:rPr>
              <w:t>Halaven</w:t>
            </w:r>
            <w:proofErr w:type="spellEnd"/>
            <w:r w:rsidRPr="00AF03AD">
              <w:rPr>
                <w:rFonts w:ascii="Verdana" w:hAnsi="Verdana" w:cs="Arial"/>
              </w:rPr>
              <w:t xml:space="preserve"> (</w:t>
            </w:r>
            <w:proofErr w:type="spellStart"/>
            <w:r w:rsidRPr="00AF03AD">
              <w:rPr>
                <w:rFonts w:ascii="Verdana" w:hAnsi="Verdana" w:cs="Arial"/>
                <w:b/>
                <w:bCs/>
              </w:rPr>
              <w:t>eribulin</w:t>
            </w:r>
            <w:proofErr w:type="spellEnd"/>
            <w:r w:rsidRPr="00AF03AD">
              <w:rPr>
                <w:rFonts w:ascii="Verdana" w:hAnsi="Verdana" w:cs="Arial"/>
                <w:b/>
                <w:bCs/>
              </w:rPr>
              <w:t xml:space="preserve"> mesylate</w:t>
            </w:r>
            <w:r w:rsidRPr="00AF03AD">
              <w:rPr>
                <w:rFonts w:ascii="Verdana" w:hAnsi="Verdana" w:cs="Arial"/>
              </w:rPr>
              <w:t xml:space="preserve">) 1 mg/2 mL IV injection for breast cancer &amp; liposarcoma </w:t>
            </w:r>
          </w:p>
        </w:tc>
        <w:tc>
          <w:tcPr>
            <w:tcW w:w="4262" w:type="dxa"/>
            <w:shd w:val="clear" w:color="auto" w:fill="auto"/>
          </w:tcPr>
          <w:p w14:paraId="30BAC095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Medical Drug</w:t>
            </w:r>
          </w:p>
          <w:p w14:paraId="563FF88D" w14:textId="77777777" w:rsidR="00AF03AD" w:rsidRPr="006547A2" w:rsidRDefault="00AF03AD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F2F154F" w14:textId="53FD1FB2" w:rsidR="00AF03AD" w:rsidRPr="006547A2" w:rsidRDefault="00AF03AD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AF03AD" w:rsidRPr="006547A2" w14:paraId="46947254" w14:textId="77777777" w:rsidTr="001C6EB3">
        <w:tc>
          <w:tcPr>
            <w:tcW w:w="2520" w:type="dxa"/>
            <w:shd w:val="clear" w:color="auto" w:fill="auto"/>
          </w:tcPr>
          <w:p w14:paraId="4966E90D" w14:textId="77777777" w:rsidR="00AF03AD" w:rsidRPr="00AF03AD" w:rsidRDefault="00AF03AD" w:rsidP="00AF03AD">
            <w:pPr>
              <w:rPr>
                <w:rFonts w:ascii="Verdana" w:hAnsi="Verdana" w:cs="Arial"/>
              </w:rPr>
            </w:pPr>
            <w:proofErr w:type="spellStart"/>
            <w:r w:rsidRPr="00AF03AD">
              <w:rPr>
                <w:rFonts w:ascii="Verdana" w:hAnsi="Verdana" w:cs="Arial"/>
              </w:rPr>
              <w:t>Somatuline</w:t>
            </w:r>
            <w:proofErr w:type="spellEnd"/>
            <w:r w:rsidRPr="00AF03AD">
              <w:rPr>
                <w:rFonts w:ascii="Verdana" w:hAnsi="Verdana" w:cs="Arial"/>
              </w:rPr>
              <w:t xml:space="preserve"> Depot (</w:t>
            </w:r>
            <w:proofErr w:type="spellStart"/>
            <w:r w:rsidRPr="00AF03AD">
              <w:rPr>
                <w:rFonts w:ascii="Verdana" w:hAnsi="Verdana" w:cs="Arial"/>
                <w:b/>
                <w:bCs/>
              </w:rPr>
              <w:t>lanreotide</w:t>
            </w:r>
            <w:proofErr w:type="spellEnd"/>
            <w:r w:rsidRPr="00AF03AD">
              <w:rPr>
                <w:rFonts w:ascii="Verdana" w:hAnsi="Verdana" w:cs="Arial"/>
                <w:b/>
                <w:bCs/>
              </w:rPr>
              <w:t xml:space="preserve"> acetate</w:t>
            </w:r>
            <w:r w:rsidRPr="00AF03AD">
              <w:rPr>
                <w:rFonts w:ascii="Verdana" w:hAnsi="Verdana" w:cs="Arial"/>
              </w:rPr>
              <w:t xml:space="preserve">) 120 mg/0.5 mL ER SQ injection for acromegaly, GEP-NETs &amp; carcinoid syndrome </w:t>
            </w:r>
          </w:p>
          <w:p w14:paraId="4D129BE7" w14:textId="77777777" w:rsidR="00AF03AD" w:rsidRPr="006547A2" w:rsidRDefault="00AF03AD" w:rsidP="00941DB4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7A8B5579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 xml:space="preserve">Octreotide is currently </w:t>
            </w:r>
            <w:proofErr w:type="gramStart"/>
            <w:r w:rsidRPr="00AF03AD">
              <w:rPr>
                <w:rFonts w:ascii="Verdana" w:hAnsi="Verdana"/>
              </w:rPr>
              <w:t>preferred</w:t>
            </w:r>
            <w:proofErr w:type="gramEnd"/>
          </w:p>
          <w:p w14:paraId="5DF3B9A5" w14:textId="77777777" w:rsidR="00AF03AD" w:rsidRPr="006547A2" w:rsidRDefault="00AF03AD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A25C8C7" w14:textId="30B5CE99" w:rsidR="00AF03AD" w:rsidRPr="006547A2" w:rsidRDefault="00AF03AD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AF03AD" w:rsidRPr="006547A2" w14:paraId="16BECA35" w14:textId="77777777" w:rsidTr="001C6EB3">
        <w:tc>
          <w:tcPr>
            <w:tcW w:w="2520" w:type="dxa"/>
            <w:shd w:val="clear" w:color="auto" w:fill="auto"/>
          </w:tcPr>
          <w:p w14:paraId="21B9B62A" w14:textId="5F7E91D7" w:rsidR="00AF03AD" w:rsidRPr="006547A2" w:rsidRDefault="00AF03AD" w:rsidP="00941DB4">
            <w:pPr>
              <w:rPr>
                <w:rFonts w:ascii="Verdana" w:hAnsi="Verdana" w:cs="Arial"/>
              </w:rPr>
            </w:pPr>
            <w:proofErr w:type="spellStart"/>
            <w:r w:rsidRPr="00AF03AD">
              <w:rPr>
                <w:rFonts w:ascii="Verdana" w:hAnsi="Verdana" w:cs="Arial"/>
              </w:rPr>
              <w:t>Radicava</w:t>
            </w:r>
            <w:proofErr w:type="spellEnd"/>
            <w:r w:rsidRPr="00AF03AD">
              <w:rPr>
                <w:rFonts w:ascii="Verdana" w:hAnsi="Verdana" w:cs="Arial"/>
              </w:rPr>
              <w:t xml:space="preserve"> (</w:t>
            </w:r>
            <w:proofErr w:type="spellStart"/>
            <w:r w:rsidRPr="00AF03AD">
              <w:rPr>
                <w:rFonts w:ascii="Verdana" w:hAnsi="Verdana" w:cs="Arial"/>
                <w:b/>
                <w:bCs/>
              </w:rPr>
              <w:t>edaravone</w:t>
            </w:r>
            <w:proofErr w:type="spellEnd"/>
            <w:r w:rsidRPr="00AF03AD">
              <w:rPr>
                <w:rFonts w:ascii="Verdana" w:hAnsi="Verdana" w:cs="Arial"/>
              </w:rPr>
              <w:t xml:space="preserve">) 30 mg/100 mL injection for amyotrophic lateral sclerosis </w:t>
            </w:r>
          </w:p>
        </w:tc>
        <w:tc>
          <w:tcPr>
            <w:tcW w:w="4262" w:type="dxa"/>
            <w:shd w:val="clear" w:color="auto" w:fill="auto"/>
          </w:tcPr>
          <w:p w14:paraId="79110FF2" w14:textId="77777777" w:rsidR="00AF03AD" w:rsidRPr="00AF03AD" w:rsidRDefault="00AF03AD" w:rsidP="00AF03AD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Medical Drug</w:t>
            </w:r>
          </w:p>
          <w:p w14:paraId="6C8E23C6" w14:textId="77777777" w:rsidR="00AF03AD" w:rsidRPr="006547A2" w:rsidRDefault="00AF03AD" w:rsidP="00941DB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23FF5DD0" w14:textId="60C4760C" w:rsidR="00AF03AD" w:rsidRPr="006547A2" w:rsidRDefault="00AF03AD" w:rsidP="00AB22E9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</w:tbl>
    <w:p w14:paraId="1D317A5C" w14:textId="77777777" w:rsidR="00296E12" w:rsidRPr="006547A2" w:rsidRDefault="00296E12" w:rsidP="00E32DDA">
      <w:pPr>
        <w:rPr>
          <w:rFonts w:ascii="Verdana" w:eastAsia="Times New Roman" w:hAnsi="Verdana" w:cs="Arial"/>
          <w:b/>
        </w:rPr>
      </w:pPr>
      <w:bookmarkStart w:id="1" w:name="_Hlk65757423"/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255A16" w:rsidRPr="006547A2" w14:paraId="20EA93DD" w14:textId="77777777" w:rsidTr="00B65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299A5639" w14:textId="3A6725C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eastAsia="Times New Roman" w:hAnsi="Verdana" w:cs="Arial"/>
              </w:rPr>
              <w:t xml:space="preserve">New or Expanded Formulations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20"/>
        <w:gridCol w:w="4262"/>
        <w:gridCol w:w="4135"/>
      </w:tblGrid>
      <w:tr w:rsidR="00255A16" w:rsidRPr="006547A2" w14:paraId="0BA472AD" w14:textId="77777777" w:rsidTr="00B65A41">
        <w:trPr>
          <w:trHeight w:val="566"/>
        </w:trPr>
        <w:tc>
          <w:tcPr>
            <w:tcW w:w="2520" w:type="dxa"/>
          </w:tcPr>
          <w:p w14:paraId="62373FE1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  <w:bCs/>
              </w:rPr>
              <w:t>Drug</w:t>
            </w:r>
          </w:p>
        </w:tc>
        <w:tc>
          <w:tcPr>
            <w:tcW w:w="4262" w:type="dxa"/>
          </w:tcPr>
          <w:p w14:paraId="7C9A7639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  <w:b/>
                <w:bCs/>
              </w:rPr>
            </w:pPr>
            <w:r w:rsidRPr="006547A2">
              <w:rPr>
                <w:rFonts w:ascii="Verdana" w:eastAsia="Times New Roman" w:hAnsi="Verdana" w:cs="Arial"/>
                <w:b/>
                <w:bCs/>
              </w:rPr>
              <w:t>Rationale/Alternative</w:t>
            </w:r>
          </w:p>
        </w:tc>
        <w:tc>
          <w:tcPr>
            <w:tcW w:w="4135" w:type="dxa"/>
          </w:tcPr>
          <w:p w14:paraId="4CB66098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</w:rPr>
              <w:t>Recommendation</w:t>
            </w:r>
          </w:p>
        </w:tc>
      </w:tr>
      <w:tr w:rsidR="00255A16" w:rsidRPr="006547A2" w14:paraId="2DEE45DB" w14:textId="77777777" w:rsidTr="00B65A41">
        <w:tc>
          <w:tcPr>
            <w:tcW w:w="2520" w:type="dxa"/>
            <w:shd w:val="clear" w:color="auto" w:fill="auto"/>
          </w:tcPr>
          <w:p w14:paraId="3ED006F4" w14:textId="3EA02645" w:rsidR="00255A16" w:rsidRPr="006547A2" w:rsidRDefault="00255A16" w:rsidP="00B65A41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255A16">
              <w:rPr>
                <w:rFonts w:ascii="Verdana" w:hAnsi="Verdana" w:cs="Arial"/>
                <w:b/>
                <w:bCs/>
              </w:rPr>
              <w:t>Spevigo</w:t>
            </w:r>
            <w:proofErr w:type="spellEnd"/>
            <w:r w:rsidRPr="00255A16">
              <w:rPr>
                <w:rFonts w:ascii="Verdana" w:hAnsi="Verdana" w:cs="Arial"/>
                <w:b/>
                <w:bCs/>
              </w:rPr>
              <w:t xml:space="preserve"> </w:t>
            </w:r>
            <w:r w:rsidRPr="00255A16">
              <w:rPr>
                <w:rFonts w:ascii="Verdana" w:hAnsi="Verdana" w:cs="Arial"/>
              </w:rPr>
              <w:t>(</w:t>
            </w:r>
            <w:proofErr w:type="spellStart"/>
            <w:r w:rsidRPr="00255A16">
              <w:rPr>
                <w:rFonts w:ascii="Verdana" w:hAnsi="Verdana" w:cs="Arial"/>
              </w:rPr>
              <w:t>spesolimab</w:t>
            </w:r>
            <w:proofErr w:type="spellEnd"/>
            <w:r w:rsidRPr="00255A16">
              <w:rPr>
                <w:rFonts w:ascii="Verdana" w:hAnsi="Verdana" w:cs="Arial"/>
              </w:rPr>
              <w:t>) 150 mg/mL prefilled syringe for</w:t>
            </w:r>
            <w:r w:rsidRPr="006547A2">
              <w:rPr>
                <w:rFonts w:ascii="Verdana" w:hAnsi="Verdana" w:cs="Arial"/>
              </w:rPr>
              <w:t xml:space="preserve"> </w:t>
            </w:r>
            <w:r w:rsidRPr="00255A16">
              <w:rPr>
                <w:rFonts w:ascii="Verdana" w:hAnsi="Verdana" w:cs="Arial"/>
              </w:rPr>
              <w:t>generalized pustular psoriasis (GPP)</w:t>
            </w:r>
            <w:r w:rsidRPr="00255A16">
              <w:rPr>
                <w:rFonts w:ascii="Verdana" w:hAnsi="Verdana" w:cs="Arial"/>
                <w:b/>
                <w:bCs/>
              </w:rPr>
              <w:t xml:space="preserve"> </w:t>
            </w:r>
          </w:p>
        </w:tc>
        <w:tc>
          <w:tcPr>
            <w:tcW w:w="4262" w:type="dxa"/>
            <w:shd w:val="clear" w:color="auto" w:fill="auto"/>
          </w:tcPr>
          <w:p w14:paraId="77B93C3B" w14:textId="77777777" w:rsidR="00255A16" w:rsidRPr="00255A16" w:rsidRDefault="00255A16" w:rsidP="00255A16">
            <w:pPr>
              <w:rPr>
                <w:rFonts w:ascii="Verdana" w:hAnsi="Verdana"/>
              </w:rPr>
            </w:pPr>
            <w:r w:rsidRPr="00255A16">
              <w:rPr>
                <w:rFonts w:ascii="Verdana" w:hAnsi="Verdana"/>
              </w:rPr>
              <w:t xml:space="preserve">High-cost product. Many </w:t>
            </w:r>
            <w:proofErr w:type="gramStart"/>
            <w:r w:rsidRPr="00255A16">
              <w:rPr>
                <w:rFonts w:ascii="Verdana" w:hAnsi="Verdana"/>
              </w:rPr>
              <w:t>guideline</w:t>
            </w:r>
            <w:proofErr w:type="gramEnd"/>
            <w:r w:rsidRPr="00255A16">
              <w:rPr>
                <w:rFonts w:ascii="Verdana" w:hAnsi="Verdana"/>
              </w:rPr>
              <w:t xml:space="preserve"> recommended alternatives available on formulary (cyclosporine, acitretin, etanercept, infliximab, adalimumab) </w:t>
            </w:r>
          </w:p>
          <w:p w14:paraId="2F5851F7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A4D2E18" w14:textId="77777777" w:rsidR="00255A16" w:rsidRPr="006547A2" w:rsidRDefault="00255A16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NP, HIX: NF</w:t>
            </w:r>
          </w:p>
        </w:tc>
      </w:tr>
      <w:tr w:rsidR="00255A16" w:rsidRPr="006547A2" w14:paraId="112DD9CA" w14:textId="77777777" w:rsidTr="00B65A41">
        <w:tc>
          <w:tcPr>
            <w:tcW w:w="2520" w:type="dxa"/>
            <w:shd w:val="clear" w:color="auto" w:fill="auto"/>
          </w:tcPr>
          <w:p w14:paraId="34D6D0BE" w14:textId="77777777" w:rsidR="0000536E" w:rsidRPr="0000536E" w:rsidRDefault="0000536E" w:rsidP="0000536E">
            <w:pPr>
              <w:rPr>
                <w:rFonts w:ascii="Verdana" w:hAnsi="Verdana" w:cs="Arial"/>
              </w:rPr>
            </w:pPr>
            <w:proofErr w:type="spellStart"/>
            <w:r w:rsidRPr="0000536E">
              <w:rPr>
                <w:rFonts w:ascii="Verdana" w:hAnsi="Verdana" w:cs="Arial"/>
                <w:b/>
                <w:bCs/>
              </w:rPr>
              <w:t>Kionex</w:t>
            </w:r>
            <w:proofErr w:type="spellEnd"/>
            <w:r w:rsidRPr="0000536E">
              <w:rPr>
                <w:rFonts w:ascii="Verdana" w:hAnsi="Verdana" w:cs="Arial"/>
              </w:rPr>
              <w:t xml:space="preserve"> (sodium polystyrene sulfonate) 15 gm/60 </w:t>
            </w:r>
            <w:r w:rsidRPr="0000536E">
              <w:rPr>
                <w:rFonts w:ascii="Verdana" w:hAnsi="Verdana" w:cs="Arial"/>
              </w:rPr>
              <w:lastRenderedPageBreak/>
              <w:t xml:space="preserve">mL suspension for hyperkalemia </w:t>
            </w:r>
          </w:p>
          <w:p w14:paraId="5F98A3E2" w14:textId="77777777" w:rsidR="00255A16" w:rsidRPr="006547A2" w:rsidRDefault="00255A16" w:rsidP="00B65A41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40DF9431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lastRenderedPageBreak/>
              <w:t>SPS on formulary</w:t>
            </w:r>
          </w:p>
          <w:p w14:paraId="7DD3FADA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84B70A9" w14:textId="475D55BB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NP, HIX: NF</w:t>
            </w:r>
          </w:p>
        </w:tc>
      </w:tr>
      <w:tr w:rsidR="00255A16" w:rsidRPr="006547A2" w14:paraId="2727C4DE" w14:textId="77777777" w:rsidTr="00B65A41">
        <w:tc>
          <w:tcPr>
            <w:tcW w:w="2520" w:type="dxa"/>
            <w:shd w:val="clear" w:color="auto" w:fill="auto"/>
          </w:tcPr>
          <w:p w14:paraId="3957F17D" w14:textId="77777777" w:rsidR="0000536E" w:rsidRPr="0000536E" w:rsidRDefault="0000536E" w:rsidP="0000536E">
            <w:pPr>
              <w:rPr>
                <w:rFonts w:ascii="Verdana" w:hAnsi="Verdana" w:cs="Arial"/>
              </w:rPr>
            </w:pPr>
            <w:proofErr w:type="spellStart"/>
            <w:r w:rsidRPr="0000536E">
              <w:rPr>
                <w:rFonts w:ascii="Verdana" w:hAnsi="Verdana" w:cs="Arial"/>
                <w:b/>
                <w:bCs/>
              </w:rPr>
              <w:t>Rextovy</w:t>
            </w:r>
            <w:proofErr w:type="spellEnd"/>
            <w:r w:rsidRPr="0000536E">
              <w:rPr>
                <w:rFonts w:ascii="Verdana" w:hAnsi="Verdana" w:cs="Arial"/>
              </w:rPr>
              <w:t xml:space="preserve"> (naloxone) 4 mg/0.25 mL nasal spray for opioid overdose </w:t>
            </w:r>
          </w:p>
          <w:p w14:paraId="4F625DB5" w14:textId="77777777" w:rsidR="00255A16" w:rsidRPr="006547A2" w:rsidRDefault="00255A16" w:rsidP="00B65A41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7E517796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>Rx only. Same dose but lower concentration as Narcan</w:t>
            </w:r>
          </w:p>
          <w:p w14:paraId="0BB1CFDC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3F7FDC00" w14:textId="0356C57F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AD, HIX: F</w:t>
            </w:r>
          </w:p>
        </w:tc>
      </w:tr>
      <w:tr w:rsidR="00255A16" w:rsidRPr="006547A2" w14:paraId="60F4F90A" w14:textId="77777777" w:rsidTr="00B65A41">
        <w:tc>
          <w:tcPr>
            <w:tcW w:w="2520" w:type="dxa"/>
            <w:shd w:val="clear" w:color="auto" w:fill="auto"/>
          </w:tcPr>
          <w:p w14:paraId="2B65EE87" w14:textId="77777777" w:rsidR="0000536E" w:rsidRPr="0000536E" w:rsidRDefault="0000536E" w:rsidP="0000536E">
            <w:pPr>
              <w:rPr>
                <w:rFonts w:ascii="Verdana" w:hAnsi="Verdana" w:cs="Arial"/>
              </w:rPr>
            </w:pPr>
            <w:proofErr w:type="spellStart"/>
            <w:r w:rsidRPr="0000536E">
              <w:rPr>
                <w:rFonts w:ascii="Verdana" w:hAnsi="Verdana" w:cs="Arial"/>
                <w:b/>
                <w:bCs/>
              </w:rPr>
              <w:t>Ogsiveo</w:t>
            </w:r>
            <w:proofErr w:type="spellEnd"/>
            <w:r w:rsidRPr="0000536E">
              <w:rPr>
                <w:rFonts w:ascii="Verdana" w:hAnsi="Verdana" w:cs="Arial"/>
              </w:rPr>
              <w:t xml:space="preserve"> (</w:t>
            </w:r>
            <w:proofErr w:type="spellStart"/>
            <w:r w:rsidRPr="0000536E">
              <w:rPr>
                <w:rFonts w:ascii="Verdana" w:hAnsi="Verdana" w:cs="Arial"/>
              </w:rPr>
              <w:t>nirogacestat</w:t>
            </w:r>
            <w:proofErr w:type="spellEnd"/>
            <w:r w:rsidRPr="0000536E">
              <w:rPr>
                <w:rFonts w:ascii="Verdana" w:hAnsi="Verdana" w:cs="Arial"/>
              </w:rPr>
              <w:t xml:space="preserve">) 100 &amp; 150 mg tablets for desmoid tumors </w:t>
            </w:r>
          </w:p>
          <w:p w14:paraId="109B646E" w14:textId="77777777" w:rsidR="00255A16" w:rsidRPr="006547A2" w:rsidRDefault="00255A16" w:rsidP="00B65A41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6D8340D1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>Matching coverage of 50mg tab</w:t>
            </w:r>
          </w:p>
          <w:p w14:paraId="34689B44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2C19483C" w14:textId="5534244C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NF, HIX: NF</w:t>
            </w:r>
          </w:p>
        </w:tc>
      </w:tr>
      <w:tr w:rsidR="00255A16" w:rsidRPr="006547A2" w14:paraId="0809018C" w14:textId="77777777" w:rsidTr="00B65A41">
        <w:tc>
          <w:tcPr>
            <w:tcW w:w="2520" w:type="dxa"/>
            <w:shd w:val="clear" w:color="auto" w:fill="auto"/>
          </w:tcPr>
          <w:p w14:paraId="21C98F4D" w14:textId="368AB2F2" w:rsidR="00255A16" w:rsidRPr="006547A2" w:rsidRDefault="0000536E" w:rsidP="00B65A41">
            <w:pPr>
              <w:rPr>
                <w:rFonts w:ascii="Verdana" w:hAnsi="Verdana" w:cs="Arial"/>
              </w:rPr>
            </w:pPr>
            <w:proofErr w:type="spellStart"/>
            <w:r w:rsidRPr="0000536E">
              <w:rPr>
                <w:rFonts w:ascii="Verdana" w:hAnsi="Verdana" w:cs="Arial"/>
                <w:b/>
                <w:bCs/>
              </w:rPr>
              <w:t>Rinvoq</w:t>
            </w:r>
            <w:proofErr w:type="spellEnd"/>
            <w:r w:rsidRPr="0000536E">
              <w:rPr>
                <w:rFonts w:ascii="Verdana" w:hAnsi="Verdana" w:cs="Arial"/>
                <w:b/>
                <w:bCs/>
              </w:rPr>
              <w:t xml:space="preserve"> </w:t>
            </w:r>
            <w:r w:rsidRPr="0000536E">
              <w:rPr>
                <w:rFonts w:ascii="Verdana" w:hAnsi="Verdana" w:cs="Arial"/>
              </w:rPr>
              <w:t>(</w:t>
            </w:r>
            <w:proofErr w:type="spellStart"/>
            <w:r w:rsidRPr="0000536E">
              <w:rPr>
                <w:rFonts w:ascii="Verdana" w:hAnsi="Verdana" w:cs="Arial"/>
              </w:rPr>
              <w:t>upadacitinib</w:t>
            </w:r>
            <w:proofErr w:type="spellEnd"/>
            <w:r w:rsidRPr="0000536E">
              <w:rPr>
                <w:rFonts w:ascii="Verdana" w:hAnsi="Verdana" w:cs="Arial"/>
              </w:rPr>
              <w:t xml:space="preserve">) 1 mg/mL oral solution for </w:t>
            </w:r>
            <w:proofErr w:type="spellStart"/>
            <w:r w:rsidRPr="0000536E">
              <w:rPr>
                <w:rFonts w:ascii="Verdana" w:hAnsi="Verdana" w:cs="Arial"/>
              </w:rPr>
              <w:t>pJIA</w:t>
            </w:r>
            <w:proofErr w:type="spellEnd"/>
            <w:r w:rsidRPr="0000536E">
              <w:rPr>
                <w:rFonts w:ascii="Verdana" w:hAnsi="Verdana" w:cs="Arial"/>
              </w:rPr>
              <w:t xml:space="preserve"> and PsA pediatric dosing </w:t>
            </w:r>
          </w:p>
        </w:tc>
        <w:tc>
          <w:tcPr>
            <w:tcW w:w="4262" w:type="dxa"/>
            <w:shd w:val="clear" w:color="auto" w:fill="auto"/>
          </w:tcPr>
          <w:p w14:paraId="321C285F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 xml:space="preserve">PDL controlled </w:t>
            </w:r>
            <w:proofErr w:type="gramStart"/>
            <w:r w:rsidRPr="0000536E">
              <w:rPr>
                <w:rFonts w:ascii="Verdana" w:hAnsi="Verdana"/>
              </w:rPr>
              <w:t>category</w:t>
            </w:r>
            <w:proofErr w:type="gramEnd"/>
          </w:p>
          <w:p w14:paraId="7D45926F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 xml:space="preserve">Matching coverage of </w:t>
            </w:r>
            <w:proofErr w:type="spellStart"/>
            <w:r w:rsidRPr="0000536E">
              <w:rPr>
                <w:rFonts w:ascii="Verdana" w:hAnsi="Verdana"/>
              </w:rPr>
              <w:t>Rinvoq</w:t>
            </w:r>
            <w:proofErr w:type="spellEnd"/>
            <w:r w:rsidRPr="0000536E">
              <w:rPr>
                <w:rFonts w:ascii="Verdana" w:hAnsi="Verdana"/>
              </w:rPr>
              <w:t xml:space="preserve"> on IFP</w:t>
            </w:r>
          </w:p>
          <w:p w14:paraId="4C8B5324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18016193" w14:textId="0ABF8C44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F</w:t>
            </w:r>
          </w:p>
        </w:tc>
      </w:tr>
      <w:tr w:rsidR="00255A16" w:rsidRPr="006547A2" w14:paraId="13911519" w14:textId="77777777" w:rsidTr="00B65A41">
        <w:tc>
          <w:tcPr>
            <w:tcW w:w="2520" w:type="dxa"/>
            <w:shd w:val="clear" w:color="auto" w:fill="auto"/>
          </w:tcPr>
          <w:p w14:paraId="5A9747D6" w14:textId="77777777" w:rsidR="0000536E" w:rsidRPr="0000536E" w:rsidRDefault="0000536E" w:rsidP="0000536E">
            <w:pPr>
              <w:rPr>
                <w:rFonts w:ascii="Verdana" w:hAnsi="Verdana" w:cs="Arial"/>
              </w:rPr>
            </w:pPr>
            <w:r w:rsidRPr="0000536E">
              <w:rPr>
                <w:rFonts w:ascii="Verdana" w:hAnsi="Verdana" w:cs="Arial"/>
                <w:b/>
                <w:bCs/>
              </w:rPr>
              <w:t xml:space="preserve">Sitagliptin and metformin </w:t>
            </w:r>
            <w:r w:rsidRPr="0000536E">
              <w:rPr>
                <w:rFonts w:ascii="Verdana" w:hAnsi="Verdana" w:cs="Arial"/>
              </w:rPr>
              <w:t xml:space="preserve">50-1000 mg tablet for type 2 diabetes </w:t>
            </w:r>
          </w:p>
          <w:p w14:paraId="270EBAFE" w14:textId="77777777" w:rsidR="00255A16" w:rsidRPr="006547A2" w:rsidRDefault="00255A16" w:rsidP="00B65A41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28528DE0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>High-cost authorized generic of Janumet</w:t>
            </w:r>
          </w:p>
          <w:p w14:paraId="7B28633C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5773E124" w14:textId="04DCA702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255A16" w:rsidRPr="006547A2" w14:paraId="3DEBBCBD" w14:textId="77777777" w:rsidTr="00B65A41">
        <w:tc>
          <w:tcPr>
            <w:tcW w:w="2520" w:type="dxa"/>
            <w:shd w:val="clear" w:color="auto" w:fill="auto"/>
          </w:tcPr>
          <w:p w14:paraId="1D08328A" w14:textId="26FDD41D" w:rsidR="00255A16" w:rsidRPr="006547A2" w:rsidRDefault="0000536E" w:rsidP="00B65A41">
            <w:pPr>
              <w:rPr>
                <w:rFonts w:ascii="Verdana" w:hAnsi="Verdana" w:cs="Arial"/>
              </w:rPr>
            </w:pPr>
            <w:r w:rsidRPr="0000536E">
              <w:rPr>
                <w:rFonts w:ascii="Verdana" w:hAnsi="Verdana" w:cs="Arial"/>
                <w:b/>
                <w:bCs/>
              </w:rPr>
              <w:t>Freestyle Libre 3-</w:t>
            </w:r>
            <w:proofErr w:type="gramStart"/>
            <w:r w:rsidRPr="0000536E">
              <w:rPr>
                <w:rFonts w:ascii="Verdana" w:hAnsi="Verdana" w:cs="Arial"/>
                <w:b/>
                <w:bCs/>
              </w:rPr>
              <w:t>Plus</w:t>
            </w:r>
            <w:proofErr w:type="gramEnd"/>
            <w:r w:rsidRPr="0000536E">
              <w:rPr>
                <w:rFonts w:ascii="Verdana" w:hAnsi="Verdana" w:cs="Arial"/>
                <w:b/>
                <w:bCs/>
              </w:rPr>
              <w:t xml:space="preserve"> Sensor </w:t>
            </w:r>
            <w:r w:rsidRPr="0000536E">
              <w:rPr>
                <w:rFonts w:ascii="Verdana" w:hAnsi="Verdana" w:cs="Arial"/>
              </w:rPr>
              <w:t xml:space="preserve">for glucose monitoring </w:t>
            </w:r>
          </w:p>
        </w:tc>
        <w:tc>
          <w:tcPr>
            <w:tcW w:w="4262" w:type="dxa"/>
            <w:shd w:val="clear" w:color="auto" w:fill="auto"/>
          </w:tcPr>
          <w:p w14:paraId="67B893A7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>Matching coverage of Freestyle Libre 3</w:t>
            </w:r>
          </w:p>
          <w:p w14:paraId="5E879233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1200A5F7" w14:textId="2FA5F22C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F, HIX: F</w:t>
            </w:r>
          </w:p>
        </w:tc>
      </w:tr>
      <w:tr w:rsidR="00255A16" w:rsidRPr="006547A2" w14:paraId="1C0D0A18" w14:textId="77777777" w:rsidTr="00B65A41">
        <w:tc>
          <w:tcPr>
            <w:tcW w:w="2520" w:type="dxa"/>
            <w:shd w:val="clear" w:color="auto" w:fill="auto"/>
          </w:tcPr>
          <w:p w14:paraId="2FAC7839" w14:textId="4CE845AE" w:rsidR="00255A16" w:rsidRPr="006547A2" w:rsidRDefault="0000536E" w:rsidP="00B65A41">
            <w:pPr>
              <w:rPr>
                <w:rFonts w:ascii="Verdana" w:hAnsi="Verdana" w:cs="Arial"/>
              </w:rPr>
            </w:pPr>
            <w:proofErr w:type="spellStart"/>
            <w:r w:rsidRPr="0000536E">
              <w:rPr>
                <w:rFonts w:ascii="Verdana" w:hAnsi="Verdana" w:cs="Arial"/>
                <w:b/>
                <w:bCs/>
              </w:rPr>
              <w:t>Ingrezza</w:t>
            </w:r>
            <w:proofErr w:type="spellEnd"/>
            <w:r w:rsidRPr="0000536E">
              <w:rPr>
                <w:rFonts w:ascii="Verdana" w:hAnsi="Verdana" w:cs="Arial"/>
              </w:rPr>
              <w:t xml:space="preserve"> (</w:t>
            </w:r>
            <w:proofErr w:type="spellStart"/>
            <w:r w:rsidRPr="0000536E">
              <w:rPr>
                <w:rFonts w:ascii="Verdana" w:hAnsi="Verdana" w:cs="Arial"/>
              </w:rPr>
              <w:t>valbenazine</w:t>
            </w:r>
            <w:proofErr w:type="spellEnd"/>
            <w:r w:rsidRPr="0000536E">
              <w:rPr>
                <w:rFonts w:ascii="Verdana" w:hAnsi="Verdana" w:cs="Arial"/>
              </w:rPr>
              <w:t xml:space="preserve">) 40, 60, &amp; 80 mg sprinkle capsules for tardive dyskinesia and chorea associated with Huntington’s disease </w:t>
            </w:r>
          </w:p>
        </w:tc>
        <w:tc>
          <w:tcPr>
            <w:tcW w:w="4262" w:type="dxa"/>
            <w:shd w:val="clear" w:color="auto" w:fill="auto"/>
          </w:tcPr>
          <w:p w14:paraId="2393F2A2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 xml:space="preserve">Matching coverage of </w:t>
            </w:r>
            <w:proofErr w:type="spellStart"/>
            <w:r w:rsidRPr="0000536E">
              <w:rPr>
                <w:rFonts w:ascii="Verdana" w:hAnsi="Verdana"/>
              </w:rPr>
              <w:t>Ingrezza</w:t>
            </w:r>
            <w:proofErr w:type="spellEnd"/>
            <w:r w:rsidRPr="0000536E">
              <w:rPr>
                <w:rFonts w:ascii="Verdana" w:hAnsi="Verdana"/>
              </w:rPr>
              <w:t xml:space="preserve"> caps</w:t>
            </w:r>
          </w:p>
          <w:p w14:paraId="068CF62E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8CD0386" w14:textId="70BE647F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NF, HIX: F</w:t>
            </w:r>
          </w:p>
        </w:tc>
      </w:tr>
      <w:tr w:rsidR="00255A16" w:rsidRPr="006547A2" w14:paraId="213E30D5" w14:textId="77777777" w:rsidTr="00B65A41">
        <w:tc>
          <w:tcPr>
            <w:tcW w:w="2520" w:type="dxa"/>
            <w:shd w:val="clear" w:color="auto" w:fill="auto"/>
          </w:tcPr>
          <w:p w14:paraId="128EAFF1" w14:textId="77777777" w:rsidR="0000536E" w:rsidRPr="0000536E" w:rsidRDefault="0000536E" w:rsidP="0000536E">
            <w:pPr>
              <w:rPr>
                <w:rFonts w:ascii="Verdana" w:hAnsi="Verdana" w:cs="Arial"/>
              </w:rPr>
            </w:pPr>
            <w:proofErr w:type="spellStart"/>
            <w:r w:rsidRPr="0000536E">
              <w:rPr>
                <w:rFonts w:ascii="Verdana" w:hAnsi="Verdana" w:cs="Arial"/>
                <w:b/>
                <w:bCs/>
              </w:rPr>
              <w:t>Vijoice</w:t>
            </w:r>
            <w:proofErr w:type="spellEnd"/>
            <w:r w:rsidRPr="0000536E">
              <w:rPr>
                <w:rFonts w:ascii="Verdana" w:hAnsi="Verdana" w:cs="Arial"/>
              </w:rPr>
              <w:t xml:space="preserve"> (</w:t>
            </w:r>
            <w:proofErr w:type="spellStart"/>
            <w:r w:rsidRPr="0000536E">
              <w:rPr>
                <w:rFonts w:ascii="Verdana" w:hAnsi="Verdana" w:cs="Arial"/>
              </w:rPr>
              <w:t>alpelisib</w:t>
            </w:r>
            <w:proofErr w:type="spellEnd"/>
            <w:r w:rsidRPr="0000536E">
              <w:rPr>
                <w:rFonts w:ascii="Verdana" w:hAnsi="Verdana" w:cs="Arial"/>
              </w:rPr>
              <w:t xml:space="preserve">) 50 mg oral granules for PIK3CA-Related Overgrowth Spectrum (PROS) </w:t>
            </w:r>
          </w:p>
          <w:p w14:paraId="43A1A4DD" w14:textId="77777777" w:rsidR="00255A16" w:rsidRPr="006547A2" w:rsidRDefault="00255A16" w:rsidP="00B65A41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1A98EB60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 xml:space="preserve">Matching current </w:t>
            </w:r>
            <w:proofErr w:type="spellStart"/>
            <w:r w:rsidRPr="0000536E">
              <w:rPr>
                <w:rFonts w:ascii="Verdana" w:hAnsi="Verdana"/>
              </w:rPr>
              <w:t>Vijoice</w:t>
            </w:r>
            <w:proofErr w:type="spellEnd"/>
            <w:r w:rsidRPr="0000536E">
              <w:rPr>
                <w:rFonts w:ascii="Verdana" w:hAnsi="Verdana"/>
              </w:rPr>
              <w:t xml:space="preserve"> coverage</w:t>
            </w:r>
          </w:p>
          <w:p w14:paraId="2B3E8E4C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19E5D58D" w14:textId="2902B3D3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AD, HIX: F</w:t>
            </w:r>
          </w:p>
        </w:tc>
      </w:tr>
      <w:tr w:rsidR="00255A16" w:rsidRPr="006547A2" w14:paraId="3F73FA08" w14:textId="77777777" w:rsidTr="00B65A41">
        <w:tc>
          <w:tcPr>
            <w:tcW w:w="2520" w:type="dxa"/>
            <w:shd w:val="clear" w:color="auto" w:fill="auto"/>
          </w:tcPr>
          <w:p w14:paraId="74C27BEC" w14:textId="6F888114" w:rsidR="00255A16" w:rsidRPr="006547A2" w:rsidRDefault="0000536E" w:rsidP="00B65A41">
            <w:pPr>
              <w:rPr>
                <w:rFonts w:ascii="Verdana" w:hAnsi="Verdana" w:cs="Arial"/>
              </w:rPr>
            </w:pPr>
            <w:proofErr w:type="spellStart"/>
            <w:r w:rsidRPr="0000536E">
              <w:rPr>
                <w:rFonts w:ascii="Verdana" w:hAnsi="Verdana" w:cs="Arial"/>
                <w:b/>
                <w:bCs/>
              </w:rPr>
              <w:t>Adbry</w:t>
            </w:r>
            <w:proofErr w:type="spellEnd"/>
            <w:r w:rsidRPr="0000536E">
              <w:rPr>
                <w:rFonts w:ascii="Verdana" w:hAnsi="Verdana" w:cs="Arial"/>
              </w:rPr>
              <w:t xml:space="preserve"> (tralokinumab) 300 mg/2 mL autoinjector for atopic dermatitis </w:t>
            </w:r>
          </w:p>
        </w:tc>
        <w:tc>
          <w:tcPr>
            <w:tcW w:w="4262" w:type="dxa"/>
            <w:shd w:val="clear" w:color="auto" w:fill="auto"/>
          </w:tcPr>
          <w:p w14:paraId="0F38C22F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 xml:space="preserve">Matching current </w:t>
            </w:r>
            <w:proofErr w:type="spellStart"/>
            <w:r w:rsidRPr="0000536E">
              <w:rPr>
                <w:rFonts w:ascii="Verdana" w:hAnsi="Verdana"/>
              </w:rPr>
              <w:t>Adbry</w:t>
            </w:r>
            <w:proofErr w:type="spellEnd"/>
            <w:r w:rsidRPr="0000536E">
              <w:rPr>
                <w:rFonts w:ascii="Verdana" w:hAnsi="Verdana"/>
              </w:rPr>
              <w:t xml:space="preserve"> coverage</w:t>
            </w:r>
          </w:p>
          <w:p w14:paraId="641902AB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2E8856BA" w14:textId="71AF147F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NP, HIX: F</w:t>
            </w:r>
          </w:p>
        </w:tc>
      </w:tr>
      <w:tr w:rsidR="00255A16" w:rsidRPr="006547A2" w14:paraId="12071E5F" w14:textId="77777777" w:rsidTr="00B65A41">
        <w:tc>
          <w:tcPr>
            <w:tcW w:w="2520" w:type="dxa"/>
            <w:shd w:val="clear" w:color="auto" w:fill="auto"/>
          </w:tcPr>
          <w:p w14:paraId="1A0E7B0F" w14:textId="77777777" w:rsidR="0000536E" w:rsidRPr="0000536E" w:rsidRDefault="0000536E" w:rsidP="0000536E">
            <w:pPr>
              <w:rPr>
                <w:rFonts w:ascii="Verdana" w:hAnsi="Verdana" w:cs="Arial"/>
              </w:rPr>
            </w:pPr>
            <w:r w:rsidRPr="0000536E">
              <w:rPr>
                <w:rFonts w:ascii="Verdana" w:hAnsi="Verdana" w:cs="Arial"/>
                <w:b/>
                <w:bCs/>
              </w:rPr>
              <w:lastRenderedPageBreak/>
              <w:t>Naloxone</w:t>
            </w:r>
            <w:r w:rsidRPr="0000536E">
              <w:rPr>
                <w:rFonts w:ascii="Verdana" w:hAnsi="Verdana" w:cs="Arial"/>
              </w:rPr>
              <w:t xml:space="preserve"> 0.4 mg/mL prefilled syringe for opioid overdose </w:t>
            </w:r>
          </w:p>
          <w:p w14:paraId="7829FC68" w14:textId="77777777" w:rsidR="00255A16" w:rsidRPr="006547A2" w:rsidRDefault="00255A16" w:rsidP="00B65A41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26BF41BE" w14:textId="77777777" w:rsidR="0000536E" w:rsidRPr="0000536E" w:rsidRDefault="0000536E" w:rsidP="0000536E">
            <w:pPr>
              <w:rPr>
                <w:rFonts w:ascii="Verdana" w:hAnsi="Verdana"/>
              </w:rPr>
            </w:pPr>
            <w:r w:rsidRPr="0000536E">
              <w:rPr>
                <w:rFonts w:ascii="Verdana" w:hAnsi="Verdana"/>
              </w:rPr>
              <w:t>Matching coverage of other naloxone products</w:t>
            </w:r>
          </w:p>
          <w:p w14:paraId="7DC522E1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0ED810BF" w14:textId="2B4A3190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F, PPO: F, Medicaid: P, HIX: NF</w:t>
            </w:r>
          </w:p>
        </w:tc>
      </w:tr>
      <w:tr w:rsidR="00255A16" w:rsidRPr="006547A2" w14:paraId="441BB526" w14:textId="77777777" w:rsidTr="00B65A41">
        <w:tc>
          <w:tcPr>
            <w:tcW w:w="2520" w:type="dxa"/>
            <w:shd w:val="clear" w:color="auto" w:fill="auto"/>
          </w:tcPr>
          <w:p w14:paraId="6C05320A" w14:textId="77777777" w:rsidR="00EC6614" w:rsidRPr="00EC6614" w:rsidRDefault="00EC6614" w:rsidP="00EC6614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Scemblix</w:t>
            </w:r>
            <w:proofErr w:type="spellEnd"/>
            <w:r w:rsidRPr="00EC6614">
              <w:rPr>
                <w:rFonts w:ascii="Verdana" w:hAnsi="Verdana" w:cs="Arial"/>
              </w:rPr>
              <w:t xml:space="preserve"> (</w:t>
            </w:r>
            <w:proofErr w:type="spellStart"/>
            <w:r w:rsidRPr="00EC6614">
              <w:rPr>
                <w:rFonts w:ascii="Verdana" w:hAnsi="Verdana" w:cs="Arial"/>
              </w:rPr>
              <w:t>asciminib</w:t>
            </w:r>
            <w:proofErr w:type="spellEnd"/>
            <w:r w:rsidRPr="00EC6614">
              <w:rPr>
                <w:rFonts w:ascii="Verdana" w:hAnsi="Verdana" w:cs="Arial"/>
              </w:rPr>
              <w:t xml:space="preserve">) 100 mg tablet for chronic myeloid leukemia </w:t>
            </w:r>
          </w:p>
          <w:p w14:paraId="2B9C35FC" w14:textId="77777777" w:rsidR="00255A16" w:rsidRPr="006547A2" w:rsidRDefault="00255A16" w:rsidP="00B65A41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1DE179A5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>Matching coverage of 20mg and 40mg tabs</w:t>
            </w:r>
          </w:p>
          <w:p w14:paraId="22CFD938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1ACCF690" w14:textId="44075E3D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F, PPO: F, Medicaid: </w:t>
            </w:r>
            <w:r w:rsidR="00EC6614" w:rsidRPr="006547A2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F</w:t>
            </w:r>
          </w:p>
        </w:tc>
      </w:tr>
      <w:tr w:rsidR="00255A16" w:rsidRPr="006547A2" w14:paraId="602D44F3" w14:textId="77777777" w:rsidTr="00B65A41">
        <w:tc>
          <w:tcPr>
            <w:tcW w:w="2520" w:type="dxa"/>
            <w:shd w:val="clear" w:color="auto" w:fill="auto"/>
          </w:tcPr>
          <w:p w14:paraId="37AD2500" w14:textId="25BEDE89" w:rsidR="00255A16" w:rsidRPr="006547A2" w:rsidRDefault="00EC6614" w:rsidP="00B65A41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Austedo</w:t>
            </w:r>
            <w:proofErr w:type="spellEnd"/>
            <w:r w:rsidRPr="00EC6614">
              <w:rPr>
                <w:rFonts w:ascii="Verdana" w:hAnsi="Verdana" w:cs="Arial"/>
                <w:b/>
                <w:bCs/>
              </w:rPr>
              <w:t xml:space="preserve"> XR </w:t>
            </w:r>
            <w:r w:rsidRPr="00EC6614">
              <w:rPr>
                <w:rFonts w:ascii="Verdana" w:hAnsi="Verdana" w:cs="Arial"/>
              </w:rPr>
              <w:t>(</w:t>
            </w:r>
            <w:proofErr w:type="spellStart"/>
            <w:r w:rsidRPr="00EC6614">
              <w:rPr>
                <w:rFonts w:ascii="Verdana" w:hAnsi="Verdana" w:cs="Arial"/>
              </w:rPr>
              <w:t>deutetrabenazine</w:t>
            </w:r>
            <w:proofErr w:type="spellEnd"/>
            <w:r w:rsidRPr="00EC6614">
              <w:rPr>
                <w:rFonts w:ascii="Verdana" w:hAnsi="Verdana" w:cs="Arial"/>
              </w:rPr>
              <w:t xml:space="preserve">) 30, 36, 42, &amp; 48 mg ER tablets for Huntington’s disease &amp; tardive dyskinesia </w:t>
            </w:r>
          </w:p>
        </w:tc>
        <w:tc>
          <w:tcPr>
            <w:tcW w:w="4262" w:type="dxa"/>
            <w:shd w:val="clear" w:color="auto" w:fill="auto"/>
          </w:tcPr>
          <w:p w14:paraId="7640FC5F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 xml:space="preserve">Matching current </w:t>
            </w:r>
            <w:proofErr w:type="spellStart"/>
            <w:r w:rsidRPr="00EC6614">
              <w:rPr>
                <w:rFonts w:ascii="Verdana" w:hAnsi="Verdana"/>
              </w:rPr>
              <w:t>Austedo</w:t>
            </w:r>
            <w:proofErr w:type="spellEnd"/>
            <w:r w:rsidRPr="00EC6614">
              <w:rPr>
                <w:rFonts w:ascii="Verdana" w:hAnsi="Verdana"/>
              </w:rPr>
              <w:t xml:space="preserve"> XR coverage</w:t>
            </w:r>
          </w:p>
          <w:p w14:paraId="0871309E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7962D90A" w14:textId="2AD36689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F, PPO: F, Medicaid: </w:t>
            </w:r>
            <w:r w:rsidR="00EC6614" w:rsidRPr="006547A2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F</w:t>
            </w:r>
          </w:p>
        </w:tc>
      </w:tr>
      <w:tr w:rsidR="00255A16" w:rsidRPr="006547A2" w14:paraId="413C099F" w14:textId="77777777" w:rsidTr="00B65A41">
        <w:tc>
          <w:tcPr>
            <w:tcW w:w="2520" w:type="dxa"/>
            <w:shd w:val="clear" w:color="auto" w:fill="auto"/>
          </w:tcPr>
          <w:p w14:paraId="7E52A175" w14:textId="72728EBE" w:rsidR="00255A16" w:rsidRPr="006547A2" w:rsidRDefault="00EC6614" w:rsidP="00B65A41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Myhibbin</w:t>
            </w:r>
            <w:proofErr w:type="spellEnd"/>
            <w:r w:rsidRPr="00EC6614">
              <w:rPr>
                <w:rFonts w:ascii="Verdana" w:hAnsi="Verdana" w:cs="Arial"/>
              </w:rPr>
              <w:t xml:space="preserve"> (mycophenolate mofetil) 200 mg/mL oral suspension </w:t>
            </w:r>
          </w:p>
        </w:tc>
        <w:tc>
          <w:tcPr>
            <w:tcW w:w="4262" w:type="dxa"/>
            <w:shd w:val="clear" w:color="auto" w:fill="auto"/>
          </w:tcPr>
          <w:p w14:paraId="4308F632" w14:textId="73F1EDDE" w:rsidR="00255A16" w:rsidRPr="006547A2" w:rsidRDefault="00EC6614" w:rsidP="00B65A41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 xml:space="preserve">High-cost mycophenolate suspension. Generic </w:t>
            </w:r>
            <w:proofErr w:type="spellStart"/>
            <w:r w:rsidRPr="00EC6614">
              <w:rPr>
                <w:rFonts w:ascii="Verdana" w:hAnsi="Verdana"/>
              </w:rPr>
              <w:t>Cellcept</w:t>
            </w:r>
            <w:proofErr w:type="spellEnd"/>
            <w:r w:rsidRPr="00EC6614">
              <w:rPr>
                <w:rFonts w:ascii="Verdana" w:hAnsi="Verdana"/>
              </w:rPr>
              <w:t xml:space="preserve"> powder for suspension is currently covered</w:t>
            </w:r>
          </w:p>
        </w:tc>
        <w:tc>
          <w:tcPr>
            <w:tcW w:w="4135" w:type="dxa"/>
            <w:shd w:val="clear" w:color="auto" w:fill="auto"/>
          </w:tcPr>
          <w:p w14:paraId="49D9BD32" w14:textId="55553A9F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</w:t>
            </w:r>
            <w:r w:rsidR="00EC6614" w:rsidRPr="006547A2">
              <w:rPr>
                <w:rFonts w:ascii="Verdana" w:hAnsi="Verdana"/>
              </w:rPr>
              <w:t>NF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255A16" w:rsidRPr="006547A2" w14:paraId="19B63FA6" w14:textId="77777777" w:rsidTr="00B65A41">
        <w:tc>
          <w:tcPr>
            <w:tcW w:w="2520" w:type="dxa"/>
            <w:shd w:val="clear" w:color="auto" w:fill="auto"/>
          </w:tcPr>
          <w:p w14:paraId="785DF689" w14:textId="77777777" w:rsidR="00EC6614" w:rsidRPr="00EC6614" w:rsidRDefault="00EC6614" w:rsidP="00EC6614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Libervant</w:t>
            </w:r>
            <w:proofErr w:type="spellEnd"/>
            <w:r w:rsidRPr="00EC6614">
              <w:rPr>
                <w:rFonts w:ascii="Verdana" w:hAnsi="Verdana" w:cs="Arial"/>
              </w:rPr>
              <w:t xml:space="preserve"> (diazepam) 5, 7.5, 10, 12.5, &amp; 15 mg buccal films for seizures in patients 2-5 years old </w:t>
            </w:r>
          </w:p>
          <w:p w14:paraId="399946F3" w14:textId="77777777" w:rsidR="00255A16" w:rsidRPr="006547A2" w:rsidRDefault="00255A16" w:rsidP="00B65A41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736BFFBD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 xml:space="preserve">Added to </w:t>
            </w:r>
            <w:proofErr w:type="spellStart"/>
            <w:r w:rsidRPr="00EC6614">
              <w:rPr>
                <w:rFonts w:ascii="Verdana" w:hAnsi="Verdana"/>
              </w:rPr>
              <w:t>MedD</w:t>
            </w:r>
            <w:proofErr w:type="spellEnd"/>
            <w:r w:rsidRPr="00EC6614">
              <w:rPr>
                <w:rFonts w:ascii="Verdana" w:hAnsi="Verdana"/>
              </w:rPr>
              <w:t xml:space="preserve"> - PCD</w:t>
            </w:r>
          </w:p>
          <w:p w14:paraId="45541E65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  <w:p w14:paraId="075E07A6" w14:textId="77777777" w:rsidR="00EC6614" w:rsidRPr="006547A2" w:rsidRDefault="00EC6614" w:rsidP="00EC6614">
            <w:pPr>
              <w:rPr>
                <w:rFonts w:ascii="Verdana" w:hAnsi="Verdana"/>
              </w:rPr>
            </w:pPr>
          </w:p>
          <w:p w14:paraId="4843AD2C" w14:textId="3D583110" w:rsidR="00EC6614" w:rsidRPr="006547A2" w:rsidRDefault="00EC6614" w:rsidP="00EC6614">
            <w:pPr>
              <w:tabs>
                <w:tab w:val="left" w:pos="1125"/>
              </w:tabs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ab/>
            </w:r>
          </w:p>
        </w:tc>
        <w:tc>
          <w:tcPr>
            <w:tcW w:w="4135" w:type="dxa"/>
            <w:shd w:val="clear" w:color="auto" w:fill="auto"/>
          </w:tcPr>
          <w:p w14:paraId="6757431B" w14:textId="1AC3B0C9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F, PPO: F, Medicaid: </w:t>
            </w:r>
            <w:r w:rsidR="00EC6614" w:rsidRPr="006547A2">
              <w:rPr>
                <w:rFonts w:ascii="Verdana" w:hAnsi="Verdana"/>
              </w:rPr>
              <w:t>NF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255A16" w:rsidRPr="006547A2" w14:paraId="5CB11D2F" w14:textId="77777777" w:rsidTr="00B65A41">
        <w:tc>
          <w:tcPr>
            <w:tcW w:w="2520" w:type="dxa"/>
            <w:shd w:val="clear" w:color="auto" w:fill="auto"/>
          </w:tcPr>
          <w:p w14:paraId="716722D9" w14:textId="38118CF2" w:rsidR="00255A16" w:rsidRPr="006547A2" w:rsidRDefault="00EC6614" w:rsidP="00B65A41">
            <w:pPr>
              <w:rPr>
                <w:rFonts w:ascii="Verdana" w:hAnsi="Verdana" w:cs="Arial"/>
              </w:rPr>
            </w:pPr>
            <w:r w:rsidRPr="00EC6614">
              <w:rPr>
                <w:rFonts w:ascii="Verdana" w:hAnsi="Verdana" w:cs="Arial"/>
                <w:b/>
                <w:bCs/>
              </w:rPr>
              <w:t>Ondansetron</w:t>
            </w:r>
            <w:r w:rsidRPr="00EC6614">
              <w:rPr>
                <w:rFonts w:ascii="Verdana" w:hAnsi="Verdana" w:cs="Arial"/>
              </w:rPr>
              <w:t xml:space="preserve"> 16 mg orally disintegrating tablet for nausea and vomiting </w:t>
            </w:r>
          </w:p>
        </w:tc>
        <w:tc>
          <w:tcPr>
            <w:tcW w:w="4262" w:type="dxa"/>
            <w:shd w:val="clear" w:color="auto" w:fill="auto"/>
          </w:tcPr>
          <w:p w14:paraId="761E204A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>High-cost strength. 100x the cost of generic 8mg ODT</w:t>
            </w:r>
          </w:p>
          <w:p w14:paraId="7CC9A313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 xml:space="preserve">PDL </w:t>
            </w:r>
            <w:proofErr w:type="gramStart"/>
            <w:r w:rsidRPr="00EC6614">
              <w:rPr>
                <w:rFonts w:ascii="Verdana" w:hAnsi="Verdana"/>
              </w:rPr>
              <w:t>controlled</w:t>
            </w:r>
            <w:proofErr w:type="gramEnd"/>
          </w:p>
          <w:p w14:paraId="1CB0E0D6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8AE2AEA" w14:textId="09C53D30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P, HIX: NF</w:t>
            </w:r>
          </w:p>
        </w:tc>
      </w:tr>
      <w:tr w:rsidR="00255A16" w:rsidRPr="006547A2" w14:paraId="0A75C191" w14:textId="77777777" w:rsidTr="00B65A41">
        <w:tc>
          <w:tcPr>
            <w:tcW w:w="2520" w:type="dxa"/>
            <w:shd w:val="clear" w:color="auto" w:fill="auto"/>
          </w:tcPr>
          <w:p w14:paraId="5ADD2BB3" w14:textId="77777777" w:rsidR="00EC6614" w:rsidRPr="00EC6614" w:rsidRDefault="00EC6614" w:rsidP="00EC6614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Acthar</w:t>
            </w:r>
            <w:proofErr w:type="spellEnd"/>
            <w:r w:rsidRPr="00EC6614">
              <w:rPr>
                <w:rFonts w:ascii="Verdana" w:hAnsi="Verdana" w:cs="Arial"/>
                <w:b/>
                <w:bCs/>
              </w:rPr>
              <w:t xml:space="preserve"> </w:t>
            </w:r>
            <w:r w:rsidRPr="00EC6614">
              <w:rPr>
                <w:rFonts w:ascii="Verdana" w:hAnsi="Verdana" w:cs="Arial"/>
              </w:rPr>
              <w:t xml:space="preserve">(corticotropin) 40 units/0.5 mL &amp; 80 units/mL autoinjector for various indications (autoinjector for administration by adults only – cannot be used for infantile spasms) </w:t>
            </w:r>
          </w:p>
          <w:p w14:paraId="0C5566BE" w14:textId="77777777" w:rsidR="00255A16" w:rsidRPr="006547A2" w:rsidRDefault="00255A16" w:rsidP="00B65A41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5D6A9A16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 xml:space="preserve">infantile spasms </w:t>
            </w:r>
            <w:proofErr w:type="gramStart"/>
            <w:r w:rsidRPr="00EC6614">
              <w:rPr>
                <w:rFonts w:ascii="Verdana" w:hAnsi="Verdana"/>
              </w:rPr>
              <w:t>is</w:t>
            </w:r>
            <w:proofErr w:type="gramEnd"/>
            <w:r w:rsidRPr="00EC6614">
              <w:rPr>
                <w:rFonts w:ascii="Verdana" w:hAnsi="Verdana"/>
              </w:rPr>
              <w:t xml:space="preserve"> the only indication which Navitus views as medically necessary</w:t>
            </w:r>
          </w:p>
          <w:p w14:paraId="43533675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A5CF026" w14:textId="7BD87DC4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NF, PPO: NF, Medicaid: </w:t>
            </w:r>
            <w:r w:rsidR="00EC6614" w:rsidRPr="006547A2">
              <w:rPr>
                <w:rFonts w:ascii="Verdana" w:hAnsi="Verdana"/>
              </w:rPr>
              <w:t>NF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255A16" w:rsidRPr="006547A2" w14:paraId="5063ADA6" w14:textId="77777777" w:rsidTr="00B65A41">
        <w:tc>
          <w:tcPr>
            <w:tcW w:w="2520" w:type="dxa"/>
            <w:shd w:val="clear" w:color="auto" w:fill="auto"/>
          </w:tcPr>
          <w:p w14:paraId="53B4598E" w14:textId="2825DC94" w:rsidR="00255A16" w:rsidRPr="006547A2" w:rsidRDefault="00EC6614" w:rsidP="00B65A41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Austedo</w:t>
            </w:r>
            <w:proofErr w:type="spellEnd"/>
            <w:r w:rsidRPr="00EC6614">
              <w:rPr>
                <w:rFonts w:ascii="Verdana" w:hAnsi="Verdana" w:cs="Arial"/>
                <w:b/>
                <w:bCs/>
              </w:rPr>
              <w:t xml:space="preserve"> XR </w:t>
            </w:r>
            <w:r w:rsidRPr="00EC6614">
              <w:rPr>
                <w:rFonts w:ascii="Verdana" w:hAnsi="Verdana" w:cs="Arial"/>
              </w:rPr>
              <w:t>(</w:t>
            </w:r>
            <w:proofErr w:type="spellStart"/>
            <w:r w:rsidRPr="00EC6614">
              <w:rPr>
                <w:rFonts w:ascii="Verdana" w:hAnsi="Verdana" w:cs="Arial"/>
              </w:rPr>
              <w:t>deutetrabenazine</w:t>
            </w:r>
            <w:proofErr w:type="spellEnd"/>
            <w:r w:rsidRPr="00EC6614">
              <w:rPr>
                <w:rFonts w:ascii="Verdana" w:hAnsi="Verdana" w:cs="Arial"/>
              </w:rPr>
              <w:t xml:space="preserve">) </w:t>
            </w:r>
            <w:r w:rsidRPr="00EC6614">
              <w:rPr>
                <w:rFonts w:ascii="Verdana" w:hAnsi="Verdana" w:cs="Arial"/>
              </w:rPr>
              <w:lastRenderedPageBreak/>
              <w:t xml:space="preserve">18 mg ER tablet &amp; 12/18/24/30 mg ER tablet titration pack for Huntington’s disease &amp; tardive dyskinesia </w:t>
            </w:r>
          </w:p>
        </w:tc>
        <w:tc>
          <w:tcPr>
            <w:tcW w:w="4262" w:type="dxa"/>
            <w:shd w:val="clear" w:color="auto" w:fill="auto"/>
          </w:tcPr>
          <w:p w14:paraId="2157FBF9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lastRenderedPageBreak/>
              <w:t xml:space="preserve">Matching current </w:t>
            </w:r>
            <w:proofErr w:type="spellStart"/>
            <w:r w:rsidRPr="00EC6614">
              <w:rPr>
                <w:rFonts w:ascii="Verdana" w:hAnsi="Verdana"/>
              </w:rPr>
              <w:t>Austedo</w:t>
            </w:r>
            <w:proofErr w:type="spellEnd"/>
            <w:r w:rsidRPr="00EC6614">
              <w:rPr>
                <w:rFonts w:ascii="Verdana" w:hAnsi="Verdana"/>
              </w:rPr>
              <w:t xml:space="preserve"> XR coverage</w:t>
            </w:r>
          </w:p>
          <w:p w14:paraId="48DC7E84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DEE774D" w14:textId="3D57B2A4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lastRenderedPageBreak/>
              <w:t xml:space="preserve">Medicare: F, PPO: F, Medicaid: </w:t>
            </w:r>
            <w:r w:rsidR="00EC6614" w:rsidRPr="006547A2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F</w:t>
            </w:r>
          </w:p>
        </w:tc>
      </w:tr>
      <w:tr w:rsidR="00255A16" w:rsidRPr="006547A2" w14:paraId="64848D22" w14:textId="77777777" w:rsidTr="00B65A41">
        <w:tc>
          <w:tcPr>
            <w:tcW w:w="2520" w:type="dxa"/>
            <w:shd w:val="clear" w:color="auto" w:fill="auto"/>
          </w:tcPr>
          <w:p w14:paraId="38F53992" w14:textId="5617DF28" w:rsidR="00255A16" w:rsidRPr="006547A2" w:rsidRDefault="00EC6614" w:rsidP="00B65A41">
            <w:pPr>
              <w:rPr>
                <w:rFonts w:ascii="Verdana" w:hAnsi="Verdana" w:cs="Arial"/>
              </w:rPr>
            </w:pPr>
            <w:r w:rsidRPr="00EC6614">
              <w:rPr>
                <w:rFonts w:ascii="Verdana" w:hAnsi="Verdana" w:cs="Arial"/>
                <w:b/>
                <w:bCs/>
              </w:rPr>
              <w:t>Clobetasol</w:t>
            </w:r>
            <w:r w:rsidRPr="00EC6614">
              <w:rPr>
                <w:rFonts w:ascii="Verdana" w:hAnsi="Verdana" w:cs="Arial"/>
              </w:rPr>
              <w:t xml:space="preserve"> 0.05% ophthalmic suspension for post-operative inflammation </w:t>
            </w:r>
          </w:p>
        </w:tc>
        <w:tc>
          <w:tcPr>
            <w:tcW w:w="4262" w:type="dxa"/>
            <w:shd w:val="clear" w:color="auto" w:fill="auto"/>
          </w:tcPr>
          <w:p w14:paraId="5B88A81E" w14:textId="77777777" w:rsidR="00EC6614" w:rsidRPr="00EC6614" w:rsidRDefault="00EC6614" w:rsidP="00EC6614">
            <w:pPr>
              <w:rPr>
                <w:rFonts w:ascii="Verdana" w:hAnsi="Verdana"/>
              </w:rPr>
            </w:pPr>
            <w:proofErr w:type="gramStart"/>
            <w:r w:rsidRPr="00EC6614">
              <w:rPr>
                <w:rFonts w:ascii="Verdana" w:hAnsi="Verdana"/>
              </w:rPr>
              <w:t>High-cost</w:t>
            </w:r>
            <w:proofErr w:type="gramEnd"/>
            <w:r w:rsidRPr="00EC6614">
              <w:rPr>
                <w:rFonts w:ascii="Verdana" w:hAnsi="Verdana"/>
              </w:rPr>
              <w:t>. No advantage over generic ophthalmic steroids</w:t>
            </w:r>
          </w:p>
          <w:p w14:paraId="32AE7B1E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AB60902" w14:textId="16FC9655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</w:t>
            </w:r>
            <w:r w:rsidR="00EC6614" w:rsidRPr="006547A2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255A16" w:rsidRPr="006547A2" w14:paraId="4133C6BE" w14:textId="77777777" w:rsidTr="00B65A41">
        <w:tc>
          <w:tcPr>
            <w:tcW w:w="2520" w:type="dxa"/>
            <w:shd w:val="clear" w:color="auto" w:fill="auto"/>
          </w:tcPr>
          <w:p w14:paraId="63D05C63" w14:textId="74277479" w:rsidR="00255A16" w:rsidRPr="006547A2" w:rsidRDefault="00EC6614" w:rsidP="00B65A41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Zoryve</w:t>
            </w:r>
            <w:proofErr w:type="spellEnd"/>
            <w:r w:rsidRPr="00EC6614">
              <w:rPr>
                <w:rFonts w:ascii="Verdana" w:hAnsi="Verdana" w:cs="Arial"/>
              </w:rPr>
              <w:t xml:space="preserve"> (roflumilast) 0.15% cream for atopic dermatitis </w:t>
            </w:r>
          </w:p>
        </w:tc>
        <w:tc>
          <w:tcPr>
            <w:tcW w:w="4262" w:type="dxa"/>
            <w:shd w:val="clear" w:color="auto" w:fill="auto"/>
          </w:tcPr>
          <w:p w14:paraId="5B2D285B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 xml:space="preserve">Matching coverage of 0.3% </w:t>
            </w:r>
            <w:proofErr w:type="spellStart"/>
            <w:r w:rsidRPr="00EC6614">
              <w:rPr>
                <w:rFonts w:ascii="Verdana" w:hAnsi="Verdana"/>
              </w:rPr>
              <w:t>Zoryve</w:t>
            </w:r>
            <w:proofErr w:type="spellEnd"/>
          </w:p>
          <w:p w14:paraId="4B751C67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6CF7E79" w14:textId="5E8805B5" w:rsidR="00255A16" w:rsidRPr="006547A2" w:rsidRDefault="00EC6614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255A16" w:rsidRPr="006547A2" w14:paraId="1EA87370" w14:textId="77777777" w:rsidTr="00B65A41">
        <w:tc>
          <w:tcPr>
            <w:tcW w:w="2520" w:type="dxa"/>
            <w:shd w:val="clear" w:color="auto" w:fill="auto"/>
          </w:tcPr>
          <w:p w14:paraId="23890079" w14:textId="7A0469A1" w:rsidR="00255A16" w:rsidRPr="006547A2" w:rsidRDefault="00EC6614" w:rsidP="00B65A41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Livmarli</w:t>
            </w:r>
            <w:proofErr w:type="spellEnd"/>
            <w:r w:rsidRPr="00EC6614">
              <w:rPr>
                <w:rFonts w:ascii="Verdana" w:hAnsi="Verdana" w:cs="Arial"/>
              </w:rPr>
              <w:t xml:space="preserve"> (</w:t>
            </w:r>
            <w:proofErr w:type="spellStart"/>
            <w:r w:rsidRPr="00EC6614">
              <w:rPr>
                <w:rFonts w:ascii="Verdana" w:hAnsi="Verdana" w:cs="Arial"/>
              </w:rPr>
              <w:t>maralixibat</w:t>
            </w:r>
            <w:proofErr w:type="spellEnd"/>
            <w:r w:rsidRPr="00EC6614">
              <w:rPr>
                <w:rFonts w:ascii="Verdana" w:hAnsi="Verdana" w:cs="Arial"/>
              </w:rPr>
              <w:t xml:space="preserve">) 19 mg/mL oral solution for cholestatic pruritus in patients ≥ 12 months with progressive familial intrahepatic cholestasis (PFIC) new formulation and expanded indication </w:t>
            </w:r>
          </w:p>
        </w:tc>
        <w:tc>
          <w:tcPr>
            <w:tcW w:w="4262" w:type="dxa"/>
            <w:shd w:val="clear" w:color="auto" w:fill="auto"/>
          </w:tcPr>
          <w:p w14:paraId="085ADF61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 xml:space="preserve">Matching current </w:t>
            </w:r>
            <w:proofErr w:type="spellStart"/>
            <w:r w:rsidRPr="00EC6614">
              <w:rPr>
                <w:rFonts w:ascii="Verdana" w:hAnsi="Verdana"/>
              </w:rPr>
              <w:t>Livmarli</w:t>
            </w:r>
            <w:proofErr w:type="spellEnd"/>
            <w:r w:rsidRPr="00EC6614">
              <w:rPr>
                <w:rFonts w:ascii="Verdana" w:hAnsi="Verdana"/>
              </w:rPr>
              <w:t xml:space="preserve"> coverage</w:t>
            </w:r>
          </w:p>
          <w:p w14:paraId="59E3D894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14F88F91" w14:textId="0A06F6BD" w:rsidR="00255A16" w:rsidRPr="006547A2" w:rsidRDefault="00EC6614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NF, HIX: NF</w:t>
            </w:r>
          </w:p>
        </w:tc>
      </w:tr>
      <w:tr w:rsidR="00255A16" w:rsidRPr="006547A2" w14:paraId="312BFFD8" w14:textId="77777777" w:rsidTr="00B65A41">
        <w:tc>
          <w:tcPr>
            <w:tcW w:w="2520" w:type="dxa"/>
            <w:shd w:val="clear" w:color="auto" w:fill="auto"/>
          </w:tcPr>
          <w:p w14:paraId="188F9693" w14:textId="3A55DA04" w:rsidR="00255A16" w:rsidRPr="006547A2" w:rsidRDefault="00EC6614" w:rsidP="00B65A41">
            <w:pPr>
              <w:rPr>
                <w:rFonts w:ascii="Verdana" w:hAnsi="Verdana" w:cs="Arial"/>
              </w:rPr>
            </w:pPr>
            <w:r w:rsidRPr="00EC6614">
              <w:rPr>
                <w:rFonts w:ascii="Verdana" w:hAnsi="Verdana" w:cs="Arial"/>
                <w:b/>
                <w:bCs/>
              </w:rPr>
              <w:t>Taltz</w:t>
            </w:r>
            <w:r w:rsidRPr="00EC6614">
              <w:rPr>
                <w:rFonts w:ascii="Verdana" w:hAnsi="Verdana" w:cs="Arial"/>
              </w:rPr>
              <w:t xml:space="preserve"> (</w:t>
            </w:r>
            <w:proofErr w:type="spellStart"/>
            <w:r w:rsidRPr="00EC6614">
              <w:rPr>
                <w:rFonts w:ascii="Verdana" w:hAnsi="Verdana" w:cs="Arial"/>
              </w:rPr>
              <w:t>ixekizumab</w:t>
            </w:r>
            <w:proofErr w:type="spellEnd"/>
            <w:r w:rsidRPr="00EC6614">
              <w:rPr>
                <w:rFonts w:ascii="Verdana" w:hAnsi="Verdana" w:cs="Arial"/>
              </w:rPr>
              <w:t xml:space="preserve">) 20 mg/0.25 mL &amp; 40 mg/0.5 mL prefilled syringes for pediatric plaque psoriasis </w:t>
            </w:r>
          </w:p>
        </w:tc>
        <w:tc>
          <w:tcPr>
            <w:tcW w:w="4262" w:type="dxa"/>
            <w:shd w:val="clear" w:color="auto" w:fill="auto"/>
          </w:tcPr>
          <w:p w14:paraId="050012AC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>Matching current Taltz coverage</w:t>
            </w:r>
          </w:p>
          <w:p w14:paraId="57904F48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563E5ABE" w14:textId="7EA06C16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NP, HIX: F</w:t>
            </w:r>
          </w:p>
        </w:tc>
      </w:tr>
      <w:tr w:rsidR="00255A16" w:rsidRPr="006547A2" w14:paraId="09931A64" w14:textId="77777777" w:rsidTr="00B65A41">
        <w:tc>
          <w:tcPr>
            <w:tcW w:w="2520" w:type="dxa"/>
            <w:shd w:val="clear" w:color="auto" w:fill="auto"/>
          </w:tcPr>
          <w:p w14:paraId="0140E23D" w14:textId="2F39EEA2" w:rsidR="00255A16" w:rsidRPr="006547A2" w:rsidRDefault="00EC6614" w:rsidP="00B65A41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Tanlor</w:t>
            </w:r>
            <w:proofErr w:type="spellEnd"/>
            <w:r w:rsidRPr="00EC6614">
              <w:rPr>
                <w:rFonts w:ascii="Verdana" w:hAnsi="Verdana" w:cs="Arial"/>
                <w:b/>
                <w:bCs/>
              </w:rPr>
              <w:t xml:space="preserve"> </w:t>
            </w:r>
            <w:r w:rsidRPr="00EC6614">
              <w:rPr>
                <w:rFonts w:ascii="Verdana" w:hAnsi="Verdana" w:cs="Arial"/>
              </w:rPr>
              <w:t xml:space="preserve">(methocarbamol) 1000 mg tablet for musculoskeletal conditions </w:t>
            </w:r>
          </w:p>
        </w:tc>
        <w:tc>
          <w:tcPr>
            <w:tcW w:w="4262" w:type="dxa"/>
            <w:shd w:val="clear" w:color="auto" w:fill="auto"/>
          </w:tcPr>
          <w:p w14:paraId="6AE4D2F4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 xml:space="preserve">High-cost brand methocarbamol. Generic strengths are currently </w:t>
            </w:r>
            <w:proofErr w:type="gramStart"/>
            <w:r w:rsidRPr="00EC6614">
              <w:rPr>
                <w:rFonts w:ascii="Verdana" w:hAnsi="Verdana"/>
              </w:rPr>
              <w:t>covered</w:t>
            </w:r>
            <w:proofErr w:type="gramEnd"/>
          </w:p>
          <w:p w14:paraId="3133F2FC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30FD8990" w14:textId="1C511206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</w:t>
            </w:r>
            <w:r w:rsidR="00EC6614" w:rsidRPr="006547A2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255A16" w:rsidRPr="006547A2" w14:paraId="4638B8C9" w14:textId="77777777" w:rsidTr="00B65A41">
        <w:tc>
          <w:tcPr>
            <w:tcW w:w="2520" w:type="dxa"/>
            <w:shd w:val="clear" w:color="auto" w:fill="auto"/>
          </w:tcPr>
          <w:p w14:paraId="3CD406E4" w14:textId="6476A95C" w:rsidR="00255A16" w:rsidRPr="006547A2" w:rsidRDefault="00EC6614" w:rsidP="00B65A41">
            <w:pPr>
              <w:rPr>
                <w:rFonts w:ascii="Verdana" w:hAnsi="Verdana" w:cs="Arial"/>
              </w:rPr>
            </w:pPr>
            <w:r w:rsidRPr="00EC6614">
              <w:rPr>
                <w:rFonts w:ascii="Verdana" w:hAnsi="Verdana" w:cs="Arial"/>
                <w:b/>
                <w:bCs/>
              </w:rPr>
              <w:t>Otezla</w:t>
            </w:r>
            <w:r w:rsidRPr="00EC6614">
              <w:rPr>
                <w:rFonts w:ascii="Verdana" w:hAnsi="Verdana" w:cs="Arial"/>
              </w:rPr>
              <w:t xml:space="preserve"> (apremilast) 20 mg tablet and 10 &amp; 20 mg therapy pack for plaque psoriasis pediatric dosing </w:t>
            </w:r>
          </w:p>
        </w:tc>
        <w:tc>
          <w:tcPr>
            <w:tcW w:w="4262" w:type="dxa"/>
            <w:shd w:val="clear" w:color="auto" w:fill="auto"/>
          </w:tcPr>
          <w:p w14:paraId="45CF5516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>Matching current Otezla coverage</w:t>
            </w:r>
          </w:p>
          <w:p w14:paraId="2D19325F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3AAE27C6" w14:textId="29C702E0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P, HIX: F</w:t>
            </w:r>
          </w:p>
        </w:tc>
      </w:tr>
      <w:tr w:rsidR="00255A16" w:rsidRPr="006547A2" w14:paraId="6A339F48" w14:textId="77777777" w:rsidTr="00B65A41">
        <w:tc>
          <w:tcPr>
            <w:tcW w:w="2520" w:type="dxa"/>
            <w:shd w:val="clear" w:color="auto" w:fill="auto"/>
          </w:tcPr>
          <w:p w14:paraId="7C15E702" w14:textId="74A4BA9D" w:rsidR="00255A16" w:rsidRPr="006547A2" w:rsidRDefault="00EC6614" w:rsidP="00B65A41">
            <w:pPr>
              <w:rPr>
                <w:rFonts w:ascii="Verdana" w:hAnsi="Verdana" w:cs="Arial"/>
              </w:rPr>
            </w:pPr>
            <w:r w:rsidRPr="00EC6614">
              <w:rPr>
                <w:rFonts w:ascii="Verdana" w:hAnsi="Verdana" w:cs="Arial"/>
                <w:b/>
                <w:bCs/>
              </w:rPr>
              <w:t>Fasenra</w:t>
            </w:r>
            <w:r w:rsidRPr="00EC6614">
              <w:rPr>
                <w:rFonts w:ascii="Verdana" w:hAnsi="Verdana" w:cs="Arial"/>
              </w:rPr>
              <w:t xml:space="preserve"> (</w:t>
            </w:r>
            <w:proofErr w:type="spellStart"/>
            <w:r w:rsidRPr="00EC6614">
              <w:rPr>
                <w:rFonts w:ascii="Verdana" w:hAnsi="Verdana" w:cs="Arial"/>
              </w:rPr>
              <w:t>benralizumab</w:t>
            </w:r>
            <w:proofErr w:type="spellEnd"/>
            <w:r w:rsidRPr="00EC6614">
              <w:rPr>
                <w:rFonts w:ascii="Verdana" w:hAnsi="Verdana" w:cs="Arial"/>
              </w:rPr>
              <w:t xml:space="preserve">) 10 mg/0.5 mL prefilled syringes for severe </w:t>
            </w:r>
            <w:r w:rsidRPr="00EC6614">
              <w:rPr>
                <w:rFonts w:ascii="Verdana" w:hAnsi="Verdana" w:cs="Arial"/>
              </w:rPr>
              <w:lastRenderedPageBreak/>
              <w:t xml:space="preserve">asthma with eosinophilic phenotype </w:t>
            </w:r>
          </w:p>
        </w:tc>
        <w:tc>
          <w:tcPr>
            <w:tcW w:w="4262" w:type="dxa"/>
            <w:shd w:val="clear" w:color="auto" w:fill="auto"/>
          </w:tcPr>
          <w:p w14:paraId="2C3B8B69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lastRenderedPageBreak/>
              <w:t>Matching current Fasenra coverage</w:t>
            </w:r>
          </w:p>
          <w:p w14:paraId="6F4C3E5F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5B01AC16" w14:textId="455B12CB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 xml:space="preserve">Medicare: F, PPO: F, Medicaid: </w:t>
            </w:r>
            <w:r w:rsidR="00EC6614" w:rsidRPr="006547A2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F</w:t>
            </w:r>
          </w:p>
        </w:tc>
      </w:tr>
      <w:tr w:rsidR="00255A16" w:rsidRPr="006547A2" w14:paraId="0E88377F" w14:textId="77777777" w:rsidTr="00B65A41">
        <w:tc>
          <w:tcPr>
            <w:tcW w:w="2520" w:type="dxa"/>
            <w:shd w:val="clear" w:color="auto" w:fill="auto"/>
          </w:tcPr>
          <w:p w14:paraId="565B860C" w14:textId="2AE15968" w:rsidR="00255A16" w:rsidRPr="006547A2" w:rsidRDefault="00EC6614" w:rsidP="00B65A41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Focinvez</w:t>
            </w:r>
            <w:proofErr w:type="spellEnd"/>
            <w:r w:rsidRPr="00EC6614">
              <w:rPr>
                <w:rFonts w:ascii="Verdana" w:hAnsi="Verdana" w:cs="Arial"/>
              </w:rPr>
              <w:t xml:space="preserve"> (</w:t>
            </w:r>
            <w:proofErr w:type="spellStart"/>
            <w:r w:rsidRPr="00EC6614">
              <w:rPr>
                <w:rFonts w:ascii="Verdana" w:hAnsi="Verdana" w:cs="Arial"/>
              </w:rPr>
              <w:t>fosaprepitant</w:t>
            </w:r>
            <w:proofErr w:type="spellEnd"/>
            <w:r w:rsidRPr="00EC6614">
              <w:rPr>
                <w:rFonts w:ascii="Verdana" w:hAnsi="Verdana" w:cs="Arial"/>
              </w:rPr>
              <w:t xml:space="preserve">) 150 mg/50 mL IV solution for CINV </w:t>
            </w:r>
          </w:p>
        </w:tc>
        <w:tc>
          <w:tcPr>
            <w:tcW w:w="4262" w:type="dxa"/>
            <w:shd w:val="clear" w:color="auto" w:fill="auto"/>
          </w:tcPr>
          <w:p w14:paraId="492566A9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>Medical Drug</w:t>
            </w:r>
          </w:p>
          <w:p w14:paraId="10325061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754260CB" w14:textId="6CBA8822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</w:t>
            </w:r>
            <w:r w:rsidR="00EC6614" w:rsidRPr="006547A2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  <w:tr w:rsidR="00255A16" w:rsidRPr="006547A2" w14:paraId="69807DA4" w14:textId="77777777" w:rsidTr="00B65A41">
        <w:tc>
          <w:tcPr>
            <w:tcW w:w="2520" w:type="dxa"/>
            <w:shd w:val="clear" w:color="auto" w:fill="auto"/>
          </w:tcPr>
          <w:p w14:paraId="091C09C2" w14:textId="757A928D" w:rsidR="00255A16" w:rsidRPr="006547A2" w:rsidRDefault="00EC6614" w:rsidP="00B65A41">
            <w:pPr>
              <w:rPr>
                <w:rFonts w:ascii="Verdana" w:hAnsi="Verdana" w:cs="Arial"/>
              </w:rPr>
            </w:pPr>
            <w:proofErr w:type="spellStart"/>
            <w:r w:rsidRPr="00EC6614">
              <w:rPr>
                <w:rFonts w:ascii="Verdana" w:hAnsi="Verdana" w:cs="Arial"/>
                <w:b/>
                <w:bCs/>
              </w:rPr>
              <w:t>Rystiggo</w:t>
            </w:r>
            <w:proofErr w:type="spellEnd"/>
            <w:r w:rsidRPr="00EC6614">
              <w:rPr>
                <w:rFonts w:ascii="Verdana" w:hAnsi="Verdana" w:cs="Arial"/>
              </w:rPr>
              <w:t xml:space="preserve"> (</w:t>
            </w:r>
            <w:proofErr w:type="spellStart"/>
            <w:r w:rsidRPr="00EC6614">
              <w:rPr>
                <w:rFonts w:ascii="Verdana" w:hAnsi="Verdana" w:cs="Arial"/>
              </w:rPr>
              <w:t>rozanolixizumab</w:t>
            </w:r>
            <w:proofErr w:type="spellEnd"/>
            <w:r w:rsidRPr="00EC6614">
              <w:rPr>
                <w:rFonts w:ascii="Verdana" w:hAnsi="Verdana" w:cs="Arial"/>
              </w:rPr>
              <w:t>) 420 mg/3 ml, 560 mg/4 mL, &amp; 840 mg/6 mL SQ vials for generalized myasthenia gravis (</w:t>
            </w:r>
            <w:proofErr w:type="spellStart"/>
            <w:r w:rsidRPr="00EC6614">
              <w:rPr>
                <w:rFonts w:ascii="Verdana" w:hAnsi="Verdana" w:cs="Arial"/>
              </w:rPr>
              <w:t>gMG</w:t>
            </w:r>
            <w:proofErr w:type="spellEnd"/>
            <w:r w:rsidRPr="00EC6614">
              <w:rPr>
                <w:rFonts w:ascii="Verdana" w:hAnsi="Verdana" w:cs="Arial"/>
              </w:rPr>
              <w:t xml:space="preserve">) </w:t>
            </w:r>
          </w:p>
        </w:tc>
        <w:tc>
          <w:tcPr>
            <w:tcW w:w="4262" w:type="dxa"/>
            <w:shd w:val="clear" w:color="auto" w:fill="auto"/>
          </w:tcPr>
          <w:p w14:paraId="0AB990EC" w14:textId="77777777" w:rsidR="00EC6614" w:rsidRPr="00EC6614" w:rsidRDefault="00EC6614" w:rsidP="00EC6614">
            <w:pPr>
              <w:rPr>
                <w:rFonts w:ascii="Verdana" w:hAnsi="Verdana"/>
              </w:rPr>
            </w:pPr>
            <w:r w:rsidRPr="00EC6614">
              <w:rPr>
                <w:rFonts w:ascii="Verdana" w:hAnsi="Verdana"/>
              </w:rPr>
              <w:t>Medical Drug</w:t>
            </w:r>
          </w:p>
          <w:p w14:paraId="13AF0E41" w14:textId="77777777" w:rsidR="00255A16" w:rsidRPr="006547A2" w:rsidRDefault="00255A16" w:rsidP="00B65A41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3DC27E9F" w14:textId="09945010" w:rsidR="00255A16" w:rsidRPr="006547A2" w:rsidRDefault="0000536E" w:rsidP="00B65A41">
            <w:pPr>
              <w:rPr>
                <w:rFonts w:ascii="Verdana" w:hAnsi="Verdana"/>
              </w:rPr>
            </w:pPr>
            <w:r w:rsidRPr="006547A2">
              <w:rPr>
                <w:rFonts w:ascii="Verdana" w:hAnsi="Verdana"/>
              </w:rPr>
              <w:t>Medicare: NF, PPO: NF, Medicaid: N</w:t>
            </w:r>
            <w:r w:rsidR="00EC6614" w:rsidRPr="006547A2">
              <w:rPr>
                <w:rFonts w:ascii="Verdana" w:hAnsi="Verdana"/>
              </w:rPr>
              <w:t>F</w:t>
            </w:r>
            <w:r w:rsidRPr="006547A2">
              <w:rPr>
                <w:rFonts w:ascii="Verdana" w:hAnsi="Verdana"/>
              </w:rPr>
              <w:t>, HIX: NF</w:t>
            </w:r>
          </w:p>
        </w:tc>
      </w:tr>
    </w:tbl>
    <w:p w14:paraId="36A9C293" w14:textId="77777777" w:rsidR="00255A16" w:rsidRPr="00852F8C" w:rsidRDefault="00255A16" w:rsidP="00E32DDA">
      <w:pPr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6E31" w:rsidRPr="00852F8C" w14:paraId="5A3864ED" w14:textId="77777777" w:rsidTr="00441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bookmarkEnd w:id="1"/>
          <w:p w14:paraId="661BF950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Additional Items Reviewed </w:t>
            </w:r>
          </w:p>
        </w:tc>
      </w:tr>
    </w:tbl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0A6E31" w:rsidRPr="00852F8C" w14:paraId="4588D2D6" w14:textId="77777777" w:rsidTr="001C0339">
        <w:tc>
          <w:tcPr>
            <w:tcW w:w="2520" w:type="dxa"/>
          </w:tcPr>
          <w:p w14:paraId="4084C365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370" w:type="dxa"/>
          </w:tcPr>
          <w:p w14:paraId="4048D7BA" w14:textId="1A200632" w:rsidR="000A6E31" w:rsidRPr="00852F8C" w:rsidRDefault="00822707" w:rsidP="005247AA">
            <w:pPr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Drugs with New Policies</w:t>
            </w:r>
          </w:p>
        </w:tc>
      </w:tr>
      <w:tr w:rsidR="00822707" w:rsidRPr="00852F8C" w14:paraId="689CEF80" w14:textId="77777777" w:rsidTr="00347888">
        <w:trPr>
          <w:trHeight w:val="377"/>
        </w:trPr>
        <w:tc>
          <w:tcPr>
            <w:tcW w:w="2520" w:type="dxa"/>
          </w:tcPr>
          <w:p w14:paraId="0A40655A" w14:textId="77777777" w:rsidR="00822707" w:rsidRDefault="00822707" w:rsidP="00822707">
            <w:pPr>
              <w:rPr>
                <w:rFonts w:ascii="Verdana" w:hAnsi="Verdana" w:cs="Times New Roman"/>
                <w:bCs/>
              </w:rPr>
            </w:pPr>
            <w:r w:rsidRPr="006547A2">
              <w:rPr>
                <w:rFonts w:ascii="Verdana" w:hAnsi="Verdana" w:cs="Times New Roman"/>
                <w:bCs/>
              </w:rPr>
              <w:t xml:space="preserve">New Medical Drug Policies (effective </w:t>
            </w:r>
            <w:r w:rsidR="00B727CC" w:rsidRPr="006547A2">
              <w:rPr>
                <w:rFonts w:ascii="Verdana" w:hAnsi="Verdana" w:cs="Times New Roman"/>
                <w:bCs/>
              </w:rPr>
              <w:t>11/15</w:t>
            </w:r>
            <w:r w:rsidRPr="006547A2">
              <w:rPr>
                <w:rFonts w:ascii="Verdana" w:hAnsi="Verdana" w:cs="Times New Roman"/>
                <w:bCs/>
              </w:rPr>
              <w:t>/2024)</w:t>
            </w:r>
          </w:p>
          <w:p w14:paraId="47B4D3B8" w14:textId="77777777" w:rsidR="00C56DA1" w:rsidRDefault="00C56DA1" w:rsidP="00822707">
            <w:pPr>
              <w:rPr>
                <w:rFonts w:ascii="Verdana" w:hAnsi="Verdana" w:cs="Times New Roman"/>
                <w:bCs/>
              </w:rPr>
            </w:pPr>
          </w:p>
          <w:p w14:paraId="166089E0" w14:textId="252CE866" w:rsidR="00C56DA1" w:rsidRPr="006547A2" w:rsidRDefault="00C56DA1" w:rsidP="00822707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8370" w:type="dxa"/>
          </w:tcPr>
          <w:p w14:paraId="3E7F19BF" w14:textId="77777777" w:rsidR="00F004BF" w:rsidRPr="00F004BF" w:rsidRDefault="00F004BF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F004BF">
              <w:rPr>
                <w:rFonts w:ascii="Verdana" w:hAnsi="Verdana"/>
                <w:bCs/>
              </w:rPr>
              <w:t>Imdelltra</w:t>
            </w:r>
            <w:proofErr w:type="spellEnd"/>
            <w:r w:rsidRPr="00F004BF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  <w:p w14:paraId="5B980229" w14:textId="77777777" w:rsidR="00F004BF" w:rsidRPr="00F004BF" w:rsidRDefault="00F004BF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F004BF">
              <w:rPr>
                <w:rFonts w:ascii="Verdana" w:hAnsi="Verdana"/>
                <w:bCs/>
              </w:rPr>
              <w:t>Kisunla</w:t>
            </w:r>
            <w:proofErr w:type="spellEnd"/>
            <w:r w:rsidRPr="00F004BF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  <w:p w14:paraId="45D9EC12" w14:textId="77777777" w:rsidR="00365381" w:rsidRPr="00F004BF" w:rsidRDefault="00F004BF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F004BF">
              <w:rPr>
                <w:rFonts w:ascii="Verdana" w:hAnsi="Verdana"/>
                <w:bCs/>
              </w:rPr>
              <w:t>PiaSky</w:t>
            </w:r>
            <w:proofErr w:type="spellEnd"/>
          </w:p>
          <w:p w14:paraId="2ACB6791" w14:textId="77777777" w:rsidR="00F004BF" w:rsidRPr="00F004BF" w:rsidRDefault="00F004BF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F004BF">
              <w:rPr>
                <w:rFonts w:ascii="Verdana" w:hAnsi="Verdana"/>
                <w:bCs/>
              </w:rPr>
              <w:t>Rytelo</w:t>
            </w:r>
            <w:proofErr w:type="spellEnd"/>
          </w:p>
          <w:p w14:paraId="57C78EE1" w14:textId="77777777" w:rsidR="00F004BF" w:rsidRPr="00F004BF" w:rsidRDefault="00F004BF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F004BF">
              <w:rPr>
                <w:rFonts w:ascii="Verdana" w:hAnsi="Verdana"/>
                <w:bCs/>
              </w:rPr>
              <w:t>Teceltra</w:t>
            </w:r>
            <w:proofErr w:type="spellEnd"/>
          </w:p>
          <w:p w14:paraId="1096147E" w14:textId="0071AC28" w:rsidR="00F004BF" w:rsidRPr="00AB7540" w:rsidRDefault="00F004BF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F004BF">
              <w:rPr>
                <w:rFonts w:ascii="Verdana" w:hAnsi="Verdana"/>
                <w:bCs/>
              </w:rPr>
              <w:t>Tevimbra</w:t>
            </w:r>
            <w:proofErr w:type="spellEnd"/>
          </w:p>
        </w:tc>
      </w:tr>
      <w:tr w:rsidR="00C56DA1" w:rsidRPr="00852F8C" w14:paraId="1FBBF8DB" w14:textId="77777777" w:rsidTr="00347888">
        <w:trPr>
          <w:trHeight w:val="377"/>
        </w:trPr>
        <w:tc>
          <w:tcPr>
            <w:tcW w:w="2520" w:type="dxa"/>
          </w:tcPr>
          <w:p w14:paraId="4D79EEC2" w14:textId="7175E18D" w:rsidR="00C56DA1" w:rsidRPr="006547A2" w:rsidRDefault="00C56DA1" w:rsidP="00822707">
            <w:pPr>
              <w:rPr>
                <w:rFonts w:ascii="Verdana" w:hAnsi="Verdana" w:cs="Times New Roman"/>
                <w:bCs/>
              </w:rPr>
            </w:pPr>
            <w:r>
              <w:rPr>
                <w:rFonts w:ascii="Verdana" w:hAnsi="Verdana" w:cs="Times New Roman"/>
                <w:bCs/>
              </w:rPr>
              <w:t>2025 Medical Drug Policies</w:t>
            </w:r>
          </w:p>
        </w:tc>
        <w:tc>
          <w:tcPr>
            <w:tcW w:w="8370" w:type="dxa"/>
          </w:tcPr>
          <w:p w14:paraId="59C96F34" w14:textId="2D86CC68" w:rsidR="00C56DA1" w:rsidRPr="00F004BF" w:rsidRDefault="00C56DA1" w:rsidP="00AB7540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Approved all current policies for 2025</w:t>
            </w:r>
          </w:p>
        </w:tc>
      </w:tr>
    </w:tbl>
    <w:p w14:paraId="4396F646" w14:textId="77777777" w:rsidR="004A4967" w:rsidRPr="0008291B" w:rsidRDefault="004A4967" w:rsidP="004A4967">
      <w:pPr>
        <w:rPr>
          <w:rFonts w:ascii="Verdana" w:eastAsia="Times New Roman" w:hAnsi="Verdana" w:cs="Arial"/>
          <w:sz w:val="20"/>
          <w:szCs w:val="20"/>
        </w:rPr>
      </w:pPr>
    </w:p>
    <w:sectPr w:rsidR="004A4967" w:rsidRPr="0008291B" w:rsidSect="00E70EBB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6F1D" w14:textId="77777777" w:rsidR="001E0B7A" w:rsidRDefault="001E0B7A">
      <w:r>
        <w:separator/>
      </w:r>
    </w:p>
  </w:endnote>
  <w:endnote w:type="continuationSeparator" w:id="0">
    <w:p w14:paraId="00004FC0" w14:textId="77777777" w:rsidR="001E0B7A" w:rsidRDefault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97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9AB9F" w14:textId="223CE295" w:rsidR="00E24624" w:rsidRDefault="00E24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F77D4" w14:textId="44197675" w:rsidR="003F1B83" w:rsidRPr="00E24624" w:rsidRDefault="003F1B83" w:rsidP="00E2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04DA" w14:textId="77777777" w:rsidR="001E0B7A" w:rsidRDefault="001E0B7A">
      <w:r>
        <w:separator/>
      </w:r>
    </w:p>
  </w:footnote>
  <w:footnote w:type="continuationSeparator" w:id="0">
    <w:p w14:paraId="48C996A1" w14:textId="77777777" w:rsidR="001E0B7A" w:rsidRDefault="001E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51D4" w14:textId="19B38D68" w:rsidR="003F1B83" w:rsidRDefault="003F1B83" w:rsidP="007813ED">
    <w:pPr>
      <w:spacing w:before="24"/>
      <w:ind w:right="-20"/>
      <w:jc w:val="center"/>
      <w:rPr>
        <w:rFonts w:ascii="Verdana" w:hAnsi="Verdana"/>
        <w:b/>
        <w:noProof/>
        <w:sz w:val="28"/>
        <w:szCs w:val="28"/>
      </w:rPr>
    </w:pPr>
    <w:r w:rsidRPr="007813ED">
      <w:rPr>
        <w:rFonts w:ascii="Verdana" w:hAnsi="Verdana"/>
        <w:i/>
        <w:iCs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435F0FDD" wp14:editId="4F530742">
          <wp:simplePos x="0" y="0"/>
          <wp:positionH relativeFrom="margin">
            <wp:posOffset>-352425</wp:posOffset>
          </wp:positionH>
          <wp:positionV relativeFrom="paragraph">
            <wp:posOffset>-336550</wp:posOffset>
          </wp:positionV>
          <wp:extent cx="1914525" cy="400050"/>
          <wp:effectExtent l="0" t="0" r="9525" b="0"/>
          <wp:wrapNone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5AC958" w14:textId="18C3BDFB" w:rsidR="003F1B83" w:rsidRPr="00C06728" w:rsidRDefault="005A5771" w:rsidP="00080E04">
    <w:pPr>
      <w:spacing w:before="24"/>
      <w:ind w:right="-20"/>
      <w:jc w:val="center"/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>September</w:t>
    </w:r>
    <w:r w:rsidR="00455328">
      <w:rPr>
        <w:rFonts w:ascii="Verdana" w:hAnsi="Verdana"/>
        <w:b/>
        <w:noProof/>
        <w:sz w:val="24"/>
        <w:szCs w:val="24"/>
      </w:rPr>
      <w:t xml:space="preserve"> 202</w:t>
    </w:r>
    <w:r w:rsidR="007F3F30">
      <w:rPr>
        <w:rFonts w:ascii="Verdana" w:hAnsi="Verdana"/>
        <w:b/>
        <w:noProof/>
        <w:sz w:val="24"/>
        <w:szCs w:val="24"/>
      </w:rPr>
      <w:t>4</w:t>
    </w:r>
    <w:r w:rsidR="003F1B83"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 xml:space="preserve"> Pharmacy &amp; </w:t>
    </w:r>
    <w:r w:rsidR="003F1B83" w:rsidRPr="00C06728">
      <w:rPr>
        <w:rFonts w:ascii="Verdana" w:eastAsia="Times New Roman" w:hAnsi="Verdana" w:cs="Times New Roman"/>
        <w:b/>
        <w:bCs/>
        <w:sz w:val="24"/>
        <w:szCs w:val="24"/>
      </w:rPr>
      <w:t>Therapeutics</w:t>
    </w:r>
  </w:p>
  <w:p w14:paraId="3AEB01D9" w14:textId="19FDB444" w:rsidR="003F1B83" w:rsidRDefault="003F1B83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  <w:r w:rsidRPr="00C06728">
      <w:rPr>
        <w:rFonts w:ascii="Verdana" w:eastAsia="Times New Roman" w:hAnsi="Verdana" w:cs="Times New Roman"/>
        <w:b/>
        <w:bCs/>
        <w:spacing w:val="-2"/>
        <w:sz w:val="24"/>
        <w:szCs w:val="24"/>
      </w:rPr>
      <w:t>C</w:t>
    </w:r>
    <w:r w:rsidRPr="00C06728">
      <w:rPr>
        <w:rFonts w:ascii="Verdana" w:eastAsia="Times New Roman" w:hAnsi="Verdana" w:cs="Times New Roman"/>
        <w:b/>
        <w:bCs/>
        <w:spacing w:val="2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 xml:space="preserve">ttee 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D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ec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s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n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s</w:t>
    </w:r>
  </w:p>
  <w:p w14:paraId="34F965A0" w14:textId="77777777" w:rsidR="005D7E74" w:rsidRDefault="005D7E74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C6"/>
    <w:multiLevelType w:val="hybridMultilevel"/>
    <w:tmpl w:val="F640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2EC"/>
    <w:multiLevelType w:val="hybridMultilevel"/>
    <w:tmpl w:val="68F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6A66"/>
    <w:multiLevelType w:val="hybridMultilevel"/>
    <w:tmpl w:val="34D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E23"/>
    <w:multiLevelType w:val="hybridMultilevel"/>
    <w:tmpl w:val="CF660648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76BE"/>
    <w:multiLevelType w:val="hybridMultilevel"/>
    <w:tmpl w:val="3F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4BCF"/>
    <w:multiLevelType w:val="hybridMultilevel"/>
    <w:tmpl w:val="164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2C06"/>
    <w:multiLevelType w:val="hybridMultilevel"/>
    <w:tmpl w:val="24F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4331"/>
    <w:multiLevelType w:val="hybridMultilevel"/>
    <w:tmpl w:val="0A2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49C"/>
    <w:multiLevelType w:val="hybridMultilevel"/>
    <w:tmpl w:val="3A4A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BD8"/>
    <w:multiLevelType w:val="hybridMultilevel"/>
    <w:tmpl w:val="678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E7C42"/>
    <w:multiLevelType w:val="hybridMultilevel"/>
    <w:tmpl w:val="9E0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35C1"/>
    <w:multiLevelType w:val="hybridMultilevel"/>
    <w:tmpl w:val="B9046FD0"/>
    <w:lvl w:ilvl="0" w:tplc="6D026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835DF"/>
    <w:multiLevelType w:val="hybridMultilevel"/>
    <w:tmpl w:val="BA2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96192"/>
    <w:multiLevelType w:val="hybridMultilevel"/>
    <w:tmpl w:val="C0C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522D"/>
    <w:multiLevelType w:val="hybridMultilevel"/>
    <w:tmpl w:val="C242F7C8"/>
    <w:lvl w:ilvl="0" w:tplc="76FC1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ED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0B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9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2D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A1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C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F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EB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8511A"/>
    <w:multiLevelType w:val="hybridMultilevel"/>
    <w:tmpl w:val="347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92DCC"/>
    <w:multiLevelType w:val="hybridMultilevel"/>
    <w:tmpl w:val="2A4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6BC1"/>
    <w:multiLevelType w:val="hybridMultilevel"/>
    <w:tmpl w:val="512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C507C"/>
    <w:multiLevelType w:val="hybridMultilevel"/>
    <w:tmpl w:val="D49E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14A70"/>
    <w:multiLevelType w:val="hybridMultilevel"/>
    <w:tmpl w:val="0D6C3062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28B3463"/>
    <w:multiLevelType w:val="hybridMultilevel"/>
    <w:tmpl w:val="0116FED6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12A8"/>
    <w:multiLevelType w:val="hybridMultilevel"/>
    <w:tmpl w:val="4382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64065"/>
    <w:multiLevelType w:val="hybridMultilevel"/>
    <w:tmpl w:val="1F50C03C"/>
    <w:lvl w:ilvl="0" w:tplc="DF3CB18E">
      <w:start w:val="1"/>
      <w:numFmt w:val="decimal"/>
      <w:suff w:val="nothing"/>
      <w:lvlText w:val="%1."/>
      <w:lvlJc w:val="left"/>
      <w:pPr>
        <w:ind w:left="0" w:firstLine="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35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3272A"/>
    <w:multiLevelType w:val="hybridMultilevel"/>
    <w:tmpl w:val="7122C8E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4" w15:restartNumberingAfterBreak="0">
    <w:nsid w:val="6F2106AB"/>
    <w:multiLevelType w:val="hybridMultilevel"/>
    <w:tmpl w:val="D6C6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81CA9"/>
    <w:multiLevelType w:val="hybridMultilevel"/>
    <w:tmpl w:val="706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749E3"/>
    <w:multiLevelType w:val="hybridMultilevel"/>
    <w:tmpl w:val="C4F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0779">
    <w:abstractNumId w:val="21"/>
  </w:num>
  <w:num w:numId="2" w16cid:durableId="1978099830">
    <w:abstractNumId w:val="23"/>
  </w:num>
  <w:num w:numId="3" w16cid:durableId="1002123467">
    <w:abstractNumId w:val="9"/>
  </w:num>
  <w:num w:numId="4" w16cid:durableId="32199846">
    <w:abstractNumId w:val="1"/>
  </w:num>
  <w:num w:numId="5" w16cid:durableId="197477088">
    <w:abstractNumId w:val="7"/>
  </w:num>
  <w:num w:numId="6" w16cid:durableId="1379547306">
    <w:abstractNumId w:val="15"/>
  </w:num>
  <w:num w:numId="7" w16cid:durableId="919951421">
    <w:abstractNumId w:val="8"/>
  </w:num>
  <w:num w:numId="8" w16cid:durableId="63340024">
    <w:abstractNumId w:val="6"/>
  </w:num>
  <w:num w:numId="9" w16cid:durableId="219295041">
    <w:abstractNumId w:val="11"/>
  </w:num>
  <w:num w:numId="10" w16cid:durableId="1379088175">
    <w:abstractNumId w:val="17"/>
  </w:num>
  <w:num w:numId="11" w16cid:durableId="1358458559">
    <w:abstractNumId w:val="26"/>
  </w:num>
  <w:num w:numId="12" w16cid:durableId="832255705">
    <w:abstractNumId w:val="5"/>
  </w:num>
  <w:num w:numId="13" w16cid:durableId="1048648586">
    <w:abstractNumId w:val="19"/>
  </w:num>
  <w:num w:numId="14" w16cid:durableId="865485552">
    <w:abstractNumId w:val="20"/>
  </w:num>
  <w:num w:numId="15" w16cid:durableId="40174074">
    <w:abstractNumId w:val="3"/>
  </w:num>
  <w:num w:numId="16" w16cid:durableId="816722650">
    <w:abstractNumId w:val="0"/>
  </w:num>
  <w:num w:numId="17" w16cid:durableId="345718672">
    <w:abstractNumId w:val="13"/>
  </w:num>
  <w:num w:numId="18" w16cid:durableId="1082531695">
    <w:abstractNumId w:val="18"/>
  </w:num>
  <w:num w:numId="19" w16cid:durableId="1500077621">
    <w:abstractNumId w:val="2"/>
  </w:num>
  <w:num w:numId="20" w16cid:durableId="1599602900">
    <w:abstractNumId w:val="12"/>
  </w:num>
  <w:num w:numId="21" w16cid:durableId="1137836206">
    <w:abstractNumId w:val="25"/>
  </w:num>
  <w:num w:numId="22" w16cid:durableId="1030061509">
    <w:abstractNumId w:val="24"/>
  </w:num>
  <w:num w:numId="23" w16cid:durableId="753742264">
    <w:abstractNumId w:val="10"/>
  </w:num>
  <w:num w:numId="24" w16cid:durableId="1871331762">
    <w:abstractNumId w:val="22"/>
  </w:num>
  <w:num w:numId="25" w16cid:durableId="1879584921">
    <w:abstractNumId w:val="4"/>
  </w:num>
  <w:num w:numId="26" w16cid:durableId="2136289971">
    <w:abstractNumId w:val="14"/>
  </w:num>
  <w:num w:numId="27" w16cid:durableId="462622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6F"/>
    <w:rsid w:val="00001331"/>
    <w:rsid w:val="0000536E"/>
    <w:rsid w:val="00013B7E"/>
    <w:rsid w:val="00015A48"/>
    <w:rsid w:val="000276E5"/>
    <w:rsid w:val="00027B5D"/>
    <w:rsid w:val="0003103B"/>
    <w:rsid w:val="00041EE0"/>
    <w:rsid w:val="00042572"/>
    <w:rsid w:val="0005112F"/>
    <w:rsid w:val="0005632B"/>
    <w:rsid w:val="00062D9B"/>
    <w:rsid w:val="00072DE3"/>
    <w:rsid w:val="00075402"/>
    <w:rsid w:val="000762F7"/>
    <w:rsid w:val="00077220"/>
    <w:rsid w:val="00080E04"/>
    <w:rsid w:val="0008291B"/>
    <w:rsid w:val="0008523F"/>
    <w:rsid w:val="000863CE"/>
    <w:rsid w:val="00090CB6"/>
    <w:rsid w:val="000A29D3"/>
    <w:rsid w:val="000A3A58"/>
    <w:rsid w:val="000A6E31"/>
    <w:rsid w:val="000B1E4B"/>
    <w:rsid w:val="000B377F"/>
    <w:rsid w:val="000B6BBD"/>
    <w:rsid w:val="000C0DF2"/>
    <w:rsid w:val="000C1AED"/>
    <w:rsid w:val="000C5531"/>
    <w:rsid w:val="000E3555"/>
    <w:rsid w:val="000E718C"/>
    <w:rsid w:val="000E7E43"/>
    <w:rsid w:val="000F3657"/>
    <w:rsid w:val="00103223"/>
    <w:rsid w:val="00111747"/>
    <w:rsid w:val="00113BFC"/>
    <w:rsid w:val="00123683"/>
    <w:rsid w:val="00123A36"/>
    <w:rsid w:val="00153FC2"/>
    <w:rsid w:val="00154175"/>
    <w:rsid w:val="00166739"/>
    <w:rsid w:val="0016796B"/>
    <w:rsid w:val="001679C6"/>
    <w:rsid w:val="001737B3"/>
    <w:rsid w:val="00173929"/>
    <w:rsid w:val="00174C58"/>
    <w:rsid w:val="001762D1"/>
    <w:rsid w:val="00181BB5"/>
    <w:rsid w:val="001877A4"/>
    <w:rsid w:val="001A5644"/>
    <w:rsid w:val="001A7D1B"/>
    <w:rsid w:val="001B05E8"/>
    <w:rsid w:val="001B671E"/>
    <w:rsid w:val="001B70F1"/>
    <w:rsid w:val="001C0339"/>
    <w:rsid w:val="001C4424"/>
    <w:rsid w:val="001C6A3A"/>
    <w:rsid w:val="001D1C4F"/>
    <w:rsid w:val="001E0B7A"/>
    <w:rsid w:val="001E24D2"/>
    <w:rsid w:val="001E373C"/>
    <w:rsid w:val="001E756A"/>
    <w:rsid w:val="001F15E8"/>
    <w:rsid w:val="00200C5D"/>
    <w:rsid w:val="0020307C"/>
    <w:rsid w:val="00217B3A"/>
    <w:rsid w:val="00222189"/>
    <w:rsid w:val="00224305"/>
    <w:rsid w:val="002248EA"/>
    <w:rsid w:val="00227DA7"/>
    <w:rsid w:val="0023110B"/>
    <w:rsid w:val="00240902"/>
    <w:rsid w:val="002530EB"/>
    <w:rsid w:val="00254712"/>
    <w:rsid w:val="00255A16"/>
    <w:rsid w:val="00263AA5"/>
    <w:rsid w:val="00276D88"/>
    <w:rsid w:val="002776D4"/>
    <w:rsid w:val="00282F97"/>
    <w:rsid w:val="00286B01"/>
    <w:rsid w:val="00287036"/>
    <w:rsid w:val="00291916"/>
    <w:rsid w:val="00296E12"/>
    <w:rsid w:val="00296EF6"/>
    <w:rsid w:val="002A5AA8"/>
    <w:rsid w:val="002B26A4"/>
    <w:rsid w:val="002B3F56"/>
    <w:rsid w:val="002C7005"/>
    <w:rsid w:val="002D282C"/>
    <w:rsid w:val="002E3600"/>
    <w:rsid w:val="002E4598"/>
    <w:rsid w:val="00300359"/>
    <w:rsid w:val="00303B44"/>
    <w:rsid w:val="0030564B"/>
    <w:rsid w:val="0031220E"/>
    <w:rsid w:val="0031642B"/>
    <w:rsid w:val="003167C3"/>
    <w:rsid w:val="00320E7E"/>
    <w:rsid w:val="0032109D"/>
    <w:rsid w:val="00326070"/>
    <w:rsid w:val="00330E7F"/>
    <w:rsid w:val="0033413B"/>
    <w:rsid w:val="003357F7"/>
    <w:rsid w:val="00342BF8"/>
    <w:rsid w:val="00347603"/>
    <w:rsid w:val="00347888"/>
    <w:rsid w:val="00350CBF"/>
    <w:rsid w:val="00352182"/>
    <w:rsid w:val="00357691"/>
    <w:rsid w:val="003628BE"/>
    <w:rsid w:val="003637F1"/>
    <w:rsid w:val="00365381"/>
    <w:rsid w:val="003718D1"/>
    <w:rsid w:val="00374925"/>
    <w:rsid w:val="0037536D"/>
    <w:rsid w:val="0037686F"/>
    <w:rsid w:val="00376CD6"/>
    <w:rsid w:val="00377322"/>
    <w:rsid w:val="0038015B"/>
    <w:rsid w:val="003847EC"/>
    <w:rsid w:val="00393788"/>
    <w:rsid w:val="00393F0F"/>
    <w:rsid w:val="003A2BC8"/>
    <w:rsid w:val="003A2FBC"/>
    <w:rsid w:val="003B6BD2"/>
    <w:rsid w:val="003C216A"/>
    <w:rsid w:val="003C30B6"/>
    <w:rsid w:val="003C4DD7"/>
    <w:rsid w:val="003D089B"/>
    <w:rsid w:val="003D0A4A"/>
    <w:rsid w:val="003E5867"/>
    <w:rsid w:val="003F1B83"/>
    <w:rsid w:val="003F605C"/>
    <w:rsid w:val="00400E1D"/>
    <w:rsid w:val="00405517"/>
    <w:rsid w:val="00407397"/>
    <w:rsid w:val="00411EE3"/>
    <w:rsid w:val="004178F5"/>
    <w:rsid w:val="004265F7"/>
    <w:rsid w:val="00440BB7"/>
    <w:rsid w:val="0044162D"/>
    <w:rsid w:val="004430D3"/>
    <w:rsid w:val="00443AD2"/>
    <w:rsid w:val="00443D2D"/>
    <w:rsid w:val="00443FD7"/>
    <w:rsid w:val="004471A0"/>
    <w:rsid w:val="00453C40"/>
    <w:rsid w:val="00455328"/>
    <w:rsid w:val="00455724"/>
    <w:rsid w:val="0045729E"/>
    <w:rsid w:val="00460EDB"/>
    <w:rsid w:val="00463796"/>
    <w:rsid w:val="004878FB"/>
    <w:rsid w:val="0049166B"/>
    <w:rsid w:val="004934D4"/>
    <w:rsid w:val="004971A5"/>
    <w:rsid w:val="004A3F96"/>
    <w:rsid w:val="004A4967"/>
    <w:rsid w:val="004B468F"/>
    <w:rsid w:val="004B4A2D"/>
    <w:rsid w:val="004B5320"/>
    <w:rsid w:val="004B7440"/>
    <w:rsid w:val="004C1325"/>
    <w:rsid w:val="004C1625"/>
    <w:rsid w:val="004C1E77"/>
    <w:rsid w:val="004C5F89"/>
    <w:rsid w:val="004C78BE"/>
    <w:rsid w:val="004D093E"/>
    <w:rsid w:val="004D176F"/>
    <w:rsid w:val="004D5183"/>
    <w:rsid w:val="004D6922"/>
    <w:rsid w:val="004E6FF6"/>
    <w:rsid w:val="004F2F90"/>
    <w:rsid w:val="004F5834"/>
    <w:rsid w:val="004F7C78"/>
    <w:rsid w:val="00501F1C"/>
    <w:rsid w:val="00507646"/>
    <w:rsid w:val="00511917"/>
    <w:rsid w:val="00523363"/>
    <w:rsid w:val="005247AA"/>
    <w:rsid w:val="0053124A"/>
    <w:rsid w:val="005471DD"/>
    <w:rsid w:val="00552179"/>
    <w:rsid w:val="005607E2"/>
    <w:rsid w:val="00567170"/>
    <w:rsid w:val="00570471"/>
    <w:rsid w:val="005842E0"/>
    <w:rsid w:val="005919AE"/>
    <w:rsid w:val="005923D0"/>
    <w:rsid w:val="00595206"/>
    <w:rsid w:val="00596B6A"/>
    <w:rsid w:val="005A0F54"/>
    <w:rsid w:val="005A4597"/>
    <w:rsid w:val="005A54CD"/>
    <w:rsid w:val="005A5771"/>
    <w:rsid w:val="005A7171"/>
    <w:rsid w:val="005B07DA"/>
    <w:rsid w:val="005B6F69"/>
    <w:rsid w:val="005C2E2A"/>
    <w:rsid w:val="005C6C17"/>
    <w:rsid w:val="005C7E4C"/>
    <w:rsid w:val="005D02FA"/>
    <w:rsid w:val="005D0AD5"/>
    <w:rsid w:val="005D5A8C"/>
    <w:rsid w:val="005D7E74"/>
    <w:rsid w:val="005E2989"/>
    <w:rsid w:val="005E716D"/>
    <w:rsid w:val="005E7889"/>
    <w:rsid w:val="005F2A5F"/>
    <w:rsid w:val="005F3EFF"/>
    <w:rsid w:val="0060264F"/>
    <w:rsid w:val="0062160D"/>
    <w:rsid w:val="006223BC"/>
    <w:rsid w:val="00630D15"/>
    <w:rsid w:val="00631DE6"/>
    <w:rsid w:val="006324B9"/>
    <w:rsid w:val="00632618"/>
    <w:rsid w:val="0063466E"/>
    <w:rsid w:val="0063560A"/>
    <w:rsid w:val="0063773D"/>
    <w:rsid w:val="006411FC"/>
    <w:rsid w:val="00644FCA"/>
    <w:rsid w:val="00646B34"/>
    <w:rsid w:val="00647476"/>
    <w:rsid w:val="00651BDB"/>
    <w:rsid w:val="00651F73"/>
    <w:rsid w:val="00653C33"/>
    <w:rsid w:val="00654666"/>
    <w:rsid w:val="006547A2"/>
    <w:rsid w:val="0065705C"/>
    <w:rsid w:val="006623BA"/>
    <w:rsid w:val="0066383F"/>
    <w:rsid w:val="006678A7"/>
    <w:rsid w:val="00670D60"/>
    <w:rsid w:val="00672217"/>
    <w:rsid w:val="006732A8"/>
    <w:rsid w:val="006746EE"/>
    <w:rsid w:val="006804D8"/>
    <w:rsid w:val="00684C33"/>
    <w:rsid w:val="00690B16"/>
    <w:rsid w:val="006935BF"/>
    <w:rsid w:val="0069703B"/>
    <w:rsid w:val="006977BA"/>
    <w:rsid w:val="006A5737"/>
    <w:rsid w:val="006B16C1"/>
    <w:rsid w:val="006C5E4A"/>
    <w:rsid w:val="006C6F0C"/>
    <w:rsid w:val="006D3FF4"/>
    <w:rsid w:val="006E7EE6"/>
    <w:rsid w:val="006F3BD7"/>
    <w:rsid w:val="006F62E8"/>
    <w:rsid w:val="007010BB"/>
    <w:rsid w:val="007044D6"/>
    <w:rsid w:val="00705890"/>
    <w:rsid w:val="00710E9D"/>
    <w:rsid w:val="00723809"/>
    <w:rsid w:val="0073440C"/>
    <w:rsid w:val="0073594F"/>
    <w:rsid w:val="00741038"/>
    <w:rsid w:val="00752274"/>
    <w:rsid w:val="007523CA"/>
    <w:rsid w:val="00755911"/>
    <w:rsid w:val="007575C7"/>
    <w:rsid w:val="00760FBC"/>
    <w:rsid w:val="00761F43"/>
    <w:rsid w:val="00762CBA"/>
    <w:rsid w:val="00764303"/>
    <w:rsid w:val="00765246"/>
    <w:rsid w:val="00766DC0"/>
    <w:rsid w:val="00776016"/>
    <w:rsid w:val="007813ED"/>
    <w:rsid w:val="00791941"/>
    <w:rsid w:val="007977D3"/>
    <w:rsid w:val="007A2D68"/>
    <w:rsid w:val="007A2E41"/>
    <w:rsid w:val="007A586C"/>
    <w:rsid w:val="007A7913"/>
    <w:rsid w:val="007A7E74"/>
    <w:rsid w:val="007C152F"/>
    <w:rsid w:val="007D11A0"/>
    <w:rsid w:val="007D1D6A"/>
    <w:rsid w:val="007D3B4E"/>
    <w:rsid w:val="007D59EC"/>
    <w:rsid w:val="007D7099"/>
    <w:rsid w:val="007D7F52"/>
    <w:rsid w:val="007E2C73"/>
    <w:rsid w:val="007E4E57"/>
    <w:rsid w:val="007F3F30"/>
    <w:rsid w:val="007F4708"/>
    <w:rsid w:val="007F475C"/>
    <w:rsid w:val="007F5D21"/>
    <w:rsid w:val="00810A35"/>
    <w:rsid w:val="0081196F"/>
    <w:rsid w:val="008146C0"/>
    <w:rsid w:val="00814D6B"/>
    <w:rsid w:val="00814EE1"/>
    <w:rsid w:val="00820934"/>
    <w:rsid w:val="00822707"/>
    <w:rsid w:val="008238AB"/>
    <w:rsid w:val="00832DF6"/>
    <w:rsid w:val="00832EB0"/>
    <w:rsid w:val="00837406"/>
    <w:rsid w:val="00843F92"/>
    <w:rsid w:val="00844266"/>
    <w:rsid w:val="00844806"/>
    <w:rsid w:val="00852F8C"/>
    <w:rsid w:val="008615D7"/>
    <w:rsid w:val="0086202F"/>
    <w:rsid w:val="00870C50"/>
    <w:rsid w:val="00873F95"/>
    <w:rsid w:val="008747E1"/>
    <w:rsid w:val="00875379"/>
    <w:rsid w:val="00876EFE"/>
    <w:rsid w:val="00876F27"/>
    <w:rsid w:val="00886C6D"/>
    <w:rsid w:val="00886F40"/>
    <w:rsid w:val="008907FC"/>
    <w:rsid w:val="0089593C"/>
    <w:rsid w:val="008A03E8"/>
    <w:rsid w:val="008A3424"/>
    <w:rsid w:val="008B1C3E"/>
    <w:rsid w:val="008B2543"/>
    <w:rsid w:val="008B2789"/>
    <w:rsid w:val="008D2E75"/>
    <w:rsid w:val="008D34C4"/>
    <w:rsid w:val="008D566F"/>
    <w:rsid w:val="008E2C56"/>
    <w:rsid w:val="008E332C"/>
    <w:rsid w:val="008E4E86"/>
    <w:rsid w:val="008E57B6"/>
    <w:rsid w:val="008F2FB5"/>
    <w:rsid w:val="008F582F"/>
    <w:rsid w:val="00901C99"/>
    <w:rsid w:val="00901F72"/>
    <w:rsid w:val="00906017"/>
    <w:rsid w:val="00911CE5"/>
    <w:rsid w:val="00911DEB"/>
    <w:rsid w:val="00914400"/>
    <w:rsid w:val="00914747"/>
    <w:rsid w:val="0091573D"/>
    <w:rsid w:val="00920315"/>
    <w:rsid w:val="00934B10"/>
    <w:rsid w:val="00941DB4"/>
    <w:rsid w:val="0095205D"/>
    <w:rsid w:val="00956AB9"/>
    <w:rsid w:val="00964238"/>
    <w:rsid w:val="009645C1"/>
    <w:rsid w:val="00970958"/>
    <w:rsid w:val="00970C72"/>
    <w:rsid w:val="00970FE4"/>
    <w:rsid w:val="00972555"/>
    <w:rsid w:val="0097530B"/>
    <w:rsid w:val="00975A46"/>
    <w:rsid w:val="00976ECF"/>
    <w:rsid w:val="0098015B"/>
    <w:rsid w:val="009927A3"/>
    <w:rsid w:val="0099506A"/>
    <w:rsid w:val="00995073"/>
    <w:rsid w:val="009A191A"/>
    <w:rsid w:val="009A327F"/>
    <w:rsid w:val="009C12CD"/>
    <w:rsid w:val="009C2659"/>
    <w:rsid w:val="009E4205"/>
    <w:rsid w:val="009F5B06"/>
    <w:rsid w:val="00A005B8"/>
    <w:rsid w:val="00A02DD7"/>
    <w:rsid w:val="00A05F99"/>
    <w:rsid w:val="00A07721"/>
    <w:rsid w:val="00A12D85"/>
    <w:rsid w:val="00A1528B"/>
    <w:rsid w:val="00A164C4"/>
    <w:rsid w:val="00A201AE"/>
    <w:rsid w:val="00A22479"/>
    <w:rsid w:val="00A237A9"/>
    <w:rsid w:val="00A24C6C"/>
    <w:rsid w:val="00A30660"/>
    <w:rsid w:val="00A356E9"/>
    <w:rsid w:val="00A4706E"/>
    <w:rsid w:val="00A47147"/>
    <w:rsid w:val="00A54A60"/>
    <w:rsid w:val="00A640AB"/>
    <w:rsid w:val="00A66B54"/>
    <w:rsid w:val="00A829B7"/>
    <w:rsid w:val="00A82C92"/>
    <w:rsid w:val="00A84469"/>
    <w:rsid w:val="00AA2672"/>
    <w:rsid w:val="00AA31FF"/>
    <w:rsid w:val="00AB0E4C"/>
    <w:rsid w:val="00AB1450"/>
    <w:rsid w:val="00AB22E9"/>
    <w:rsid w:val="00AB6C97"/>
    <w:rsid w:val="00AB7540"/>
    <w:rsid w:val="00AC4968"/>
    <w:rsid w:val="00AD0D0C"/>
    <w:rsid w:val="00AD28A5"/>
    <w:rsid w:val="00AD333B"/>
    <w:rsid w:val="00AD34C7"/>
    <w:rsid w:val="00AD4610"/>
    <w:rsid w:val="00AD66FA"/>
    <w:rsid w:val="00AE1D31"/>
    <w:rsid w:val="00AE6351"/>
    <w:rsid w:val="00AE79B0"/>
    <w:rsid w:val="00AF0175"/>
    <w:rsid w:val="00AF03AD"/>
    <w:rsid w:val="00AF18FE"/>
    <w:rsid w:val="00AF2228"/>
    <w:rsid w:val="00AF3556"/>
    <w:rsid w:val="00AF502D"/>
    <w:rsid w:val="00B15806"/>
    <w:rsid w:val="00B26334"/>
    <w:rsid w:val="00B341E2"/>
    <w:rsid w:val="00B42D27"/>
    <w:rsid w:val="00B452FC"/>
    <w:rsid w:val="00B45B7C"/>
    <w:rsid w:val="00B53640"/>
    <w:rsid w:val="00B54FDE"/>
    <w:rsid w:val="00B552FE"/>
    <w:rsid w:val="00B727CC"/>
    <w:rsid w:val="00B76A29"/>
    <w:rsid w:val="00B80CEA"/>
    <w:rsid w:val="00B81F89"/>
    <w:rsid w:val="00B91F98"/>
    <w:rsid w:val="00B96566"/>
    <w:rsid w:val="00B969C8"/>
    <w:rsid w:val="00BA476A"/>
    <w:rsid w:val="00BA5EBF"/>
    <w:rsid w:val="00BA65CE"/>
    <w:rsid w:val="00BA6D19"/>
    <w:rsid w:val="00BA7E1A"/>
    <w:rsid w:val="00BB0FE6"/>
    <w:rsid w:val="00BB3847"/>
    <w:rsid w:val="00BB3E10"/>
    <w:rsid w:val="00BB7425"/>
    <w:rsid w:val="00BC0998"/>
    <w:rsid w:val="00BD0499"/>
    <w:rsid w:val="00BD0C1E"/>
    <w:rsid w:val="00BD1D0F"/>
    <w:rsid w:val="00BD4764"/>
    <w:rsid w:val="00BE479A"/>
    <w:rsid w:val="00BE6EB6"/>
    <w:rsid w:val="00C0196F"/>
    <w:rsid w:val="00C06728"/>
    <w:rsid w:val="00C10694"/>
    <w:rsid w:val="00C119D2"/>
    <w:rsid w:val="00C11ADE"/>
    <w:rsid w:val="00C2794E"/>
    <w:rsid w:val="00C3217C"/>
    <w:rsid w:val="00C32D5D"/>
    <w:rsid w:val="00C36463"/>
    <w:rsid w:val="00C45D79"/>
    <w:rsid w:val="00C534D5"/>
    <w:rsid w:val="00C53605"/>
    <w:rsid w:val="00C56DA1"/>
    <w:rsid w:val="00C625FE"/>
    <w:rsid w:val="00C83FC4"/>
    <w:rsid w:val="00C908F5"/>
    <w:rsid w:val="00CA4C87"/>
    <w:rsid w:val="00CB1165"/>
    <w:rsid w:val="00CB7322"/>
    <w:rsid w:val="00CD33D9"/>
    <w:rsid w:val="00CD7CCD"/>
    <w:rsid w:val="00CE6933"/>
    <w:rsid w:val="00CF0AE6"/>
    <w:rsid w:val="00CF20AC"/>
    <w:rsid w:val="00CF3528"/>
    <w:rsid w:val="00D0156A"/>
    <w:rsid w:val="00D04062"/>
    <w:rsid w:val="00D05CEA"/>
    <w:rsid w:val="00D06B4E"/>
    <w:rsid w:val="00D149B9"/>
    <w:rsid w:val="00D20342"/>
    <w:rsid w:val="00D209F3"/>
    <w:rsid w:val="00D21FA9"/>
    <w:rsid w:val="00D2576D"/>
    <w:rsid w:val="00D26979"/>
    <w:rsid w:val="00D3175B"/>
    <w:rsid w:val="00D358CA"/>
    <w:rsid w:val="00D4079E"/>
    <w:rsid w:val="00D46781"/>
    <w:rsid w:val="00D46C3A"/>
    <w:rsid w:val="00D476D1"/>
    <w:rsid w:val="00D5135F"/>
    <w:rsid w:val="00D57D61"/>
    <w:rsid w:val="00D633E8"/>
    <w:rsid w:val="00D80B16"/>
    <w:rsid w:val="00D84EC6"/>
    <w:rsid w:val="00D877F3"/>
    <w:rsid w:val="00D9015D"/>
    <w:rsid w:val="00DA2B74"/>
    <w:rsid w:val="00DA3259"/>
    <w:rsid w:val="00DB5D81"/>
    <w:rsid w:val="00DB6129"/>
    <w:rsid w:val="00DB76EA"/>
    <w:rsid w:val="00DC189A"/>
    <w:rsid w:val="00DC3D3E"/>
    <w:rsid w:val="00DC7D01"/>
    <w:rsid w:val="00DD7640"/>
    <w:rsid w:val="00DD7DA3"/>
    <w:rsid w:val="00DE063F"/>
    <w:rsid w:val="00DF0239"/>
    <w:rsid w:val="00DF3108"/>
    <w:rsid w:val="00E006EC"/>
    <w:rsid w:val="00E013CB"/>
    <w:rsid w:val="00E07AE9"/>
    <w:rsid w:val="00E13B43"/>
    <w:rsid w:val="00E15C2F"/>
    <w:rsid w:val="00E174F6"/>
    <w:rsid w:val="00E24624"/>
    <w:rsid w:val="00E319C1"/>
    <w:rsid w:val="00E32DDA"/>
    <w:rsid w:val="00E4366B"/>
    <w:rsid w:val="00E44EED"/>
    <w:rsid w:val="00E46327"/>
    <w:rsid w:val="00E474FD"/>
    <w:rsid w:val="00E54B19"/>
    <w:rsid w:val="00E70EBB"/>
    <w:rsid w:val="00E71DCB"/>
    <w:rsid w:val="00E744C8"/>
    <w:rsid w:val="00E74BF6"/>
    <w:rsid w:val="00E7525F"/>
    <w:rsid w:val="00E77836"/>
    <w:rsid w:val="00E8102A"/>
    <w:rsid w:val="00E82183"/>
    <w:rsid w:val="00E84053"/>
    <w:rsid w:val="00E841AA"/>
    <w:rsid w:val="00E85C8E"/>
    <w:rsid w:val="00E864E7"/>
    <w:rsid w:val="00E902DB"/>
    <w:rsid w:val="00E91C92"/>
    <w:rsid w:val="00EB661B"/>
    <w:rsid w:val="00EB71D7"/>
    <w:rsid w:val="00EC06CC"/>
    <w:rsid w:val="00EC6614"/>
    <w:rsid w:val="00EC703C"/>
    <w:rsid w:val="00ED320C"/>
    <w:rsid w:val="00EE322F"/>
    <w:rsid w:val="00EE634E"/>
    <w:rsid w:val="00F003A7"/>
    <w:rsid w:val="00F004BF"/>
    <w:rsid w:val="00F05FFE"/>
    <w:rsid w:val="00F15BF5"/>
    <w:rsid w:val="00F24DFC"/>
    <w:rsid w:val="00F31CE2"/>
    <w:rsid w:val="00F43E91"/>
    <w:rsid w:val="00F60FB8"/>
    <w:rsid w:val="00F73C1A"/>
    <w:rsid w:val="00F76C61"/>
    <w:rsid w:val="00F8644A"/>
    <w:rsid w:val="00F91E3D"/>
    <w:rsid w:val="00F926B2"/>
    <w:rsid w:val="00F965E0"/>
    <w:rsid w:val="00FA1D1E"/>
    <w:rsid w:val="00FA3D06"/>
    <w:rsid w:val="00FA49A1"/>
    <w:rsid w:val="00FA7C28"/>
    <w:rsid w:val="00FB3A36"/>
    <w:rsid w:val="00FB3F79"/>
    <w:rsid w:val="00FC051D"/>
    <w:rsid w:val="00FC4D27"/>
    <w:rsid w:val="00FC6389"/>
    <w:rsid w:val="00FD6E95"/>
    <w:rsid w:val="00FE05CF"/>
    <w:rsid w:val="00FE7640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2789C8C4"/>
  <w15:docId w15:val="{D20B5484-1A6A-4CB2-9674-5051FC0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A35"/>
  </w:style>
  <w:style w:type="paragraph" w:styleId="Footer">
    <w:name w:val="footer"/>
    <w:basedOn w:val="Normal"/>
    <w:link w:val="Foot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35"/>
  </w:style>
  <w:style w:type="table" w:styleId="TableGrid">
    <w:name w:val="Table Grid"/>
    <w:basedOn w:val="TableNormal"/>
    <w:uiPriority w:val="39"/>
    <w:rsid w:val="0055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521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E8"/>
    <w:rPr>
      <w:b/>
      <w:bCs/>
      <w:sz w:val="20"/>
      <w:szCs w:val="20"/>
    </w:rPr>
  </w:style>
  <w:style w:type="paragraph" w:styleId="NoSpacing">
    <w:name w:val="No Spacing"/>
    <w:uiPriority w:val="1"/>
    <w:qFormat/>
    <w:rsid w:val="00A237A9"/>
  </w:style>
  <w:style w:type="paragraph" w:customStyle="1" w:styleId="Standard1">
    <w:name w:val="Standard1"/>
    <w:basedOn w:val="Normal"/>
    <w:rsid w:val="0037492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7540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9BD.41969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C65A-7379-4546-A0DC-209D82E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Som</dc:creator>
  <cp:keywords/>
  <dc:description/>
  <cp:lastModifiedBy>Chia Yang</cp:lastModifiedBy>
  <cp:revision>7</cp:revision>
  <cp:lastPrinted>2021-03-05T16:16:00Z</cp:lastPrinted>
  <dcterms:created xsi:type="dcterms:W3CDTF">2024-09-17T17:04:00Z</dcterms:created>
  <dcterms:modified xsi:type="dcterms:W3CDTF">2024-09-19T19:49:00Z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2014-10-08T00:00:00Z</vt:filetime>
  </property>
</Properties>
</file>