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86287" w14:textId="67FA93B7" w:rsidR="004A3F96" w:rsidRPr="00AD66FA" w:rsidRDefault="004A3F96" w:rsidP="00CB7322">
      <w:pPr>
        <w:spacing w:before="24"/>
        <w:ind w:right="-20"/>
        <w:rPr>
          <w:rFonts w:ascii="Verdana" w:eastAsia="Times New Roman" w:hAnsi="Verdana" w:cs="Times New Roman"/>
          <w:bCs/>
          <w:spacing w:val="2"/>
          <w:sz w:val="20"/>
          <w:szCs w:val="20"/>
        </w:rPr>
      </w:pPr>
      <w:proofErr w:type="spellStart"/>
      <w:r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>UCare</w:t>
      </w:r>
      <w:r w:rsidR="00440BB7"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>’s</w:t>
      </w:r>
      <w:proofErr w:type="spellEnd"/>
      <w:r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 xml:space="preserve"> Pharmacy and Therapeutics Committee (P&amp;T) is a group of physicians and pharmacists that meet throughout </w:t>
      </w:r>
      <w:r w:rsid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>the year to make changes to UCare formularies</w:t>
      </w:r>
      <w:r w:rsidR="00875379">
        <w:rPr>
          <w:rFonts w:ascii="Verdana" w:eastAsia="Times New Roman" w:hAnsi="Verdana" w:cs="Times New Roman"/>
          <w:bCs/>
          <w:spacing w:val="2"/>
          <w:sz w:val="20"/>
          <w:szCs w:val="20"/>
        </w:rPr>
        <w:t xml:space="preserve"> (approved drug list). </w:t>
      </w:r>
      <w:r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>These changes are reviewed based on clinical evidence</w:t>
      </w:r>
      <w:r w:rsidR="0063466E"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 xml:space="preserve">, safety, and </w:t>
      </w:r>
      <w:r w:rsidR="00875379">
        <w:rPr>
          <w:rFonts w:ascii="Verdana" w:eastAsia="Times New Roman" w:hAnsi="Verdana" w:cs="Times New Roman"/>
          <w:bCs/>
          <w:spacing w:val="2"/>
          <w:sz w:val="20"/>
          <w:szCs w:val="20"/>
        </w:rPr>
        <w:t xml:space="preserve">therapeutic guidelines. </w:t>
      </w:r>
      <w:r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 xml:space="preserve">All changes that </w:t>
      </w:r>
      <w:r w:rsidR="0063466E"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 xml:space="preserve">are </w:t>
      </w:r>
      <w:r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 xml:space="preserve">recommended by P&amp;T </w:t>
      </w:r>
      <w:r w:rsidR="00CB7322"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 xml:space="preserve">for the Medicare formularies </w:t>
      </w:r>
      <w:r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>are tentative un</w:t>
      </w:r>
      <w:r w:rsidR="00CB7322"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>til UCare receives final CMS approval.</w:t>
      </w:r>
    </w:p>
    <w:p w14:paraId="65087A81" w14:textId="77777777" w:rsidR="004A3F96" w:rsidRPr="00AD66FA" w:rsidRDefault="004A3F96" w:rsidP="004A3F96">
      <w:pPr>
        <w:spacing w:before="24"/>
        <w:ind w:left="569" w:right="-20"/>
        <w:rPr>
          <w:rFonts w:ascii="Verdana" w:eastAsia="Times New Roman" w:hAnsi="Verdana" w:cs="Times New Roman"/>
          <w:bCs/>
          <w:spacing w:val="2"/>
          <w:sz w:val="20"/>
          <w:szCs w:val="20"/>
        </w:rPr>
      </w:pPr>
    </w:p>
    <w:p w14:paraId="1150A02D" w14:textId="77777777" w:rsidR="00B81F89" w:rsidRPr="00AD66FA" w:rsidRDefault="004A3F96" w:rsidP="00CB7322">
      <w:pPr>
        <w:spacing w:before="24"/>
        <w:ind w:right="-20"/>
        <w:rPr>
          <w:rFonts w:ascii="Verdana" w:eastAsia="Times New Roman" w:hAnsi="Verdana" w:cs="Times New Roman"/>
          <w:bCs/>
          <w:spacing w:val="2"/>
          <w:sz w:val="20"/>
          <w:szCs w:val="20"/>
          <w:u w:val="single"/>
        </w:rPr>
      </w:pPr>
      <w:r w:rsidRPr="00AD66FA">
        <w:rPr>
          <w:rFonts w:ascii="Verdana" w:eastAsia="Times New Roman" w:hAnsi="Verdana" w:cs="Times New Roman"/>
          <w:bCs/>
          <w:spacing w:val="2"/>
          <w:sz w:val="20"/>
          <w:szCs w:val="20"/>
          <w:u w:val="single"/>
        </w:rPr>
        <w:t>Key:</w:t>
      </w:r>
    </w:p>
    <w:p w14:paraId="5D1D94BF" w14:textId="112F53CD" w:rsidR="00B81F89" w:rsidRPr="00AD66FA" w:rsidRDefault="00400E1D" w:rsidP="00CB7322">
      <w:pPr>
        <w:spacing w:before="24"/>
        <w:ind w:right="-20"/>
        <w:rPr>
          <w:rFonts w:ascii="Verdana" w:eastAsia="Times New Roman" w:hAnsi="Verdana" w:cs="Times New Roman"/>
          <w:bCs/>
          <w:spacing w:val="2"/>
          <w:sz w:val="20"/>
          <w:szCs w:val="20"/>
        </w:rPr>
      </w:pPr>
      <w:r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 xml:space="preserve">Medicare: </w:t>
      </w:r>
      <w:r w:rsidR="001B70F1"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>UC</w:t>
      </w:r>
      <w:r w:rsidR="00B81F89"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>ar</w:t>
      </w:r>
      <w:r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>e</w:t>
      </w:r>
      <w:r w:rsidR="005A0F54">
        <w:rPr>
          <w:rFonts w:ascii="Verdana" w:eastAsia="Times New Roman" w:hAnsi="Verdana" w:cs="Times New Roman"/>
          <w:bCs/>
          <w:spacing w:val="2"/>
          <w:sz w:val="20"/>
          <w:szCs w:val="20"/>
        </w:rPr>
        <w:t xml:space="preserve"> Medicare</w:t>
      </w:r>
      <w:r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>,</w:t>
      </w:r>
      <w:r w:rsidR="005A0F54">
        <w:rPr>
          <w:rFonts w:ascii="Verdana" w:eastAsia="Times New Roman" w:hAnsi="Verdana" w:cs="Times New Roman"/>
          <w:bCs/>
          <w:spacing w:val="2"/>
          <w:sz w:val="20"/>
          <w:szCs w:val="20"/>
        </w:rPr>
        <w:t xml:space="preserve"> UCare Medicare with Fairview and North Memorial,</w:t>
      </w:r>
      <w:r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 xml:space="preserve"> </w:t>
      </w:r>
      <w:r w:rsidR="005A0F54">
        <w:rPr>
          <w:rFonts w:ascii="Verdana" w:eastAsia="Times New Roman" w:hAnsi="Verdana" w:cs="Times New Roman"/>
          <w:bCs/>
          <w:spacing w:val="2"/>
          <w:sz w:val="20"/>
          <w:szCs w:val="20"/>
        </w:rPr>
        <w:t xml:space="preserve">UCare Group Medicare, </w:t>
      </w:r>
      <w:proofErr w:type="spellStart"/>
      <w:r w:rsidR="00523363"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>EssentiaCare</w:t>
      </w:r>
      <w:proofErr w:type="spellEnd"/>
      <w:r w:rsidR="00523363"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 xml:space="preserve">, </w:t>
      </w:r>
      <w:r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>Minnesota Sen</w:t>
      </w:r>
      <w:r w:rsidR="00523363"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>ior Health Options</w:t>
      </w:r>
      <w:r w:rsidR="005A0F54">
        <w:rPr>
          <w:rFonts w:ascii="Verdana" w:eastAsia="Times New Roman" w:hAnsi="Verdana" w:cs="Times New Roman"/>
          <w:bCs/>
          <w:spacing w:val="2"/>
          <w:sz w:val="20"/>
          <w:szCs w:val="20"/>
        </w:rPr>
        <w:t xml:space="preserve"> (MSHO)</w:t>
      </w:r>
      <w:r w:rsidR="00523363"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 xml:space="preserve"> </w:t>
      </w:r>
      <w:r w:rsidR="005C2E2A"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 xml:space="preserve">&amp; </w:t>
      </w:r>
      <w:proofErr w:type="gramStart"/>
      <w:r w:rsidR="005C2E2A"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>Connect</w:t>
      </w:r>
      <w:proofErr w:type="gramEnd"/>
      <w:r w:rsidR="005C2E2A"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 xml:space="preserve"> + Medicare </w:t>
      </w:r>
    </w:p>
    <w:p w14:paraId="7EDBF446" w14:textId="79F0D6AC" w:rsidR="0005632B" w:rsidRPr="00AD66FA" w:rsidRDefault="0005632B" w:rsidP="00CB7322">
      <w:pPr>
        <w:spacing w:before="24"/>
        <w:ind w:right="-20"/>
        <w:rPr>
          <w:rFonts w:ascii="Verdana" w:eastAsia="Times New Roman" w:hAnsi="Verdana" w:cs="Times New Roman"/>
          <w:bCs/>
          <w:spacing w:val="2"/>
          <w:sz w:val="20"/>
          <w:szCs w:val="20"/>
        </w:rPr>
      </w:pPr>
      <w:r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>Medicaid</w:t>
      </w:r>
      <w:r w:rsidR="00400E1D"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 xml:space="preserve">: PMAP, </w:t>
      </w:r>
      <w:proofErr w:type="spellStart"/>
      <w:r w:rsidR="00400E1D"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>MnCare</w:t>
      </w:r>
      <w:proofErr w:type="spellEnd"/>
      <w:r w:rsidR="00400E1D"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 xml:space="preserve">, MSC+ &amp; </w:t>
      </w:r>
      <w:proofErr w:type="gramStart"/>
      <w:r w:rsidR="00400E1D"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>Connect</w:t>
      </w:r>
      <w:proofErr w:type="gramEnd"/>
    </w:p>
    <w:p w14:paraId="6F77E887" w14:textId="5944DAAC" w:rsidR="00400E1D" w:rsidRDefault="00400E1D" w:rsidP="00CB7322">
      <w:pPr>
        <w:spacing w:before="24"/>
        <w:ind w:right="-20"/>
        <w:rPr>
          <w:rFonts w:ascii="Verdana" w:eastAsia="Times New Roman" w:hAnsi="Verdana" w:cs="Times New Roman"/>
          <w:bCs/>
          <w:spacing w:val="2"/>
          <w:sz w:val="20"/>
          <w:szCs w:val="20"/>
        </w:rPr>
      </w:pPr>
      <w:r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 xml:space="preserve">Exchange: UCare </w:t>
      </w:r>
      <w:r w:rsidR="005A0F54">
        <w:rPr>
          <w:rFonts w:ascii="Verdana" w:eastAsia="Times New Roman" w:hAnsi="Verdana" w:cs="Times New Roman"/>
          <w:bCs/>
          <w:spacing w:val="2"/>
          <w:sz w:val="20"/>
          <w:szCs w:val="20"/>
        </w:rPr>
        <w:t>Individual and Family Plans</w:t>
      </w:r>
    </w:p>
    <w:p w14:paraId="4185E2F5" w14:textId="77777777" w:rsidR="00303B44" w:rsidRPr="00AD66FA" w:rsidRDefault="00303B44" w:rsidP="00CB7322">
      <w:pPr>
        <w:spacing w:before="24"/>
        <w:ind w:right="-20"/>
        <w:rPr>
          <w:rFonts w:ascii="Verdana" w:eastAsia="Times New Roman" w:hAnsi="Verdana" w:cs="Times New Roman"/>
          <w:bCs/>
          <w:spacing w:val="2"/>
          <w:sz w:val="20"/>
          <w:szCs w:val="20"/>
        </w:rPr>
      </w:pPr>
    </w:p>
    <w:p w14:paraId="7985106C" w14:textId="0A85FDAA" w:rsidR="004A3F96" w:rsidRPr="00AD66FA" w:rsidRDefault="00303B44" w:rsidP="00CB7322">
      <w:pPr>
        <w:spacing w:before="24"/>
        <w:ind w:right="-20"/>
        <w:rPr>
          <w:rFonts w:ascii="Verdana" w:eastAsia="Times New Roman" w:hAnsi="Verdana" w:cs="Times New Roman"/>
          <w:bCs/>
          <w:spacing w:val="2"/>
          <w:sz w:val="20"/>
          <w:szCs w:val="20"/>
        </w:rPr>
      </w:pPr>
      <w:r>
        <w:rPr>
          <w:rFonts w:ascii="Verdana" w:eastAsia="Times New Roman" w:hAnsi="Verdana" w:cs="Times New Roman"/>
          <w:bCs/>
          <w:spacing w:val="2"/>
          <w:sz w:val="20"/>
          <w:szCs w:val="20"/>
        </w:rPr>
        <w:t>F</w:t>
      </w:r>
      <w:r w:rsidR="00347603">
        <w:rPr>
          <w:rFonts w:ascii="Verdana" w:eastAsia="Times New Roman" w:hAnsi="Verdana" w:cs="Times New Roman"/>
          <w:bCs/>
          <w:spacing w:val="2"/>
          <w:sz w:val="20"/>
          <w:szCs w:val="20"/>
        </w:rPr>
        <w:t xml:space="preserve">: </w:t>
      </w:r>
      <w:r>
        <w:rPr>
          <w:rFonts w:ascii="Verdana" w:eastAsia="Times New Roman" w:hAnsi="Verdana" w:cs="Times New Roman"/>
          <w:bCs/>
          <w:spacing w:val="2"/>
          <w:sz w:val="20"/>
          <w:szCs w:val="20"/>
        </w:rPr>
        <w:t>Formulary</w:t>
      </w:r>
      <w:r w:rsidR="00B81F89"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ab/>
      </w:r>
      <w:r w:rsidR="00B81F89"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ab/>
      </w:r>
      <w:r w:rsidR="00B81F89"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ab/>
      </w:r>
      <w:r w:rsidR="00B81F89"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ab/>
      </w:r>
      <w:r w:rsidR="00B81F89"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ab/>
      </w:r>
      <w:r w:rsidR="00B81F89"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ab/>
      </w:r>
      <w:r w:rsidR="00B81F89"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ab/>
      </w:r>
    </w:p>
    <w:p w14:paraId="00D3FA92" w14:textId="7173AA21" w:rsidR="00173929" w:rsidRPr="00AD66FA" w:rsidRDefault="00173929" w:rsidP="00173929">
      <w:pPr>
        <w:spacing w:before="24"/>
        <w:ind w:right="-20"/>
        <w:rPr>
          <w:rFonts w:ascii="Verdana" w:eastAsia="Times New Roman" w:hAnsi="Verdana" w:cs="Times New Roman"/>
          <w:bCs/>
          <w:spacing w:val="2"/>
          <w:sz w:val="20"/>
          <w:szCs w:val="20"/>
        </w:rPr>
      </w:pPr>
      <w:r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>NF</w:t>
      </w:r>
      <w:r w:rsidR="00347603">
        <w:rPr>
          <w:rFonts w:ascii="Verdana" w:eastAsia="Times New Roman" w:hAnsi="Verdana" w:cs="Times New Roman"/>
          <w:bCs/>
          <w:spacing w:val="2"/>
          <w:sz w:val="20"/>
          <w:szCs w:val="20"/>
        </w:rPr>
        <w:t xml:space="preserve">: </w:t>
      </w:r>
      <w:r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>Non-formulary</w:t>
      </w:r>
    </w:p>
    <w:p w14:paraId="5F4065EA" w14:textId="7C8229A1" w:rsidR="004934D4" w:rsidRPr="00AD66FA" w:rsidRDefault="004934D4" w:rsidP="00844806">
      <w:pPr>
        <w:spacing w:before="24"/>
        <w:ind w:right="-20"/>
        <w:rPr>
          <w:rFonts w:ascii="Verdana" w:eastAsia="Times New Roman" w:hAnsi="Verdana" w:cs="Times New Roman"/>
          <w:bCs/>
          <w:spacing w:val="2"/>
          <w:sz w:val="20"/>
          <w:szCs w:val="20"/>
        </w:rPr>
      </w:pPr>
      <w:r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>PA</w:t>
      </w:r>
      <w:r w:rsidR="00347603">
        <w:rPr>
          <w:rFonts w:ascii="Verdana" w:eastAsia="Times New Roman" w:hAnsi="Verdana" w:cs="Times New Roman"/>
          <w:bCs/>
          <w:spacing w:val="2"/>
          <w:sz w:val="20"/>
          <w:szCs w:val="20"/>
        </w:rPr>
        <w:t xml:space="preserve">: </w:t>
      </w:r>
      <w:r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 xml:space="preserve">Prior Authorization </w:t>
      </w:r>
    </w:p>
    <w:p w14:paraId="2971532A" w14:textId="05202C80" w:rsidR="00844806" w:rsidRPr="00AD66FA" w:rsidRDefault="004934D4" w:rsidP="00844806">
      <w:pPr>
        <w:spacing w:before="24"/>
        <w:ind w:right="-20"/>
        <w:rPr>
          <w:rFonts w:ascii="Verdana" w:eastAsia="Times New Roman" w:hAnsi="Verdana" w:cs="Times New Roman"/>
          <w:bCs/>
          <w:spacing w:val="2"/>
          <w:sz w:val="20"/>
          <w:szCs w:val="20"/>
        </w:rPr>
      </w:pPr>
      <w:r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>QL</w:t>
      </w:r>
      <w:r w:rsidR="00347603">
        <w:rPr>
          <w:rFonts w:ascii="Verdana" w:eastAsia="Times New Roman" w:hAnsi="Verdana" w:cs="Times New Roman"/>
          <w:bCs/>
          <w:spacing w:val="2"/>
          <w:sz w:val="20"/>
          <w:szCs w:val="20"/>
        </w:rPr>
        <w:t xml:space="preserve">: </w:t>
      </w:r>
      <w:r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>Quantity Limit</w:t>
      </w:r>
      <w:r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ab/>
      </w:r>
      <w:r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ab/>
      </w:r>
      <w:r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ab/>
      </w:r>
      <w:r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ab/>
      </w:r>
      <w:r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ab/>
      </w:r>
    </w:p>
    <w:p w14:paraId="495D3ADA" w14:textId="6D1B218A" w:rsidR="004934D4" w:rsidRPr="00AD66FA" w:rsidRDefault="004934D4" w:rsidP="00844806">
      <w:pPr>
        <w:spacing w:before="24"/>
        <w:ind w:right="-20"/>
        <w:rPr>
          <w:rFonts w:ascii="Verdana" w:eastAsia="Times New Roman" w:hAnsi="Verdana" w:cs="Times New Roman"/>
          <w:bCs/>
          <w:spacing w:val="2"/>
          <w:sz w:val="20"/>
          <w:szCs w:val="20"/>
        </w:rPr>
      </w:pPr>
      <w:r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>ST</w:t>
      </w:r>
      <w:r w:rsidR="00347603">
        <w:rPr>
          <w:rFonts w:ascii="Verdana" w:eastAsia="Times New Roman" w:hAnsi="Verdana" w:cs="Times New Roman"/>
          <w:bCs/>
          <w:spacing w:val="2"/>
          <w:sz w:val="20"/>
          <w:szCs w:val="20"/>
        </w:rPr>
        <w:t xml:space="preserve">: </w:t>
      </w:r>
      <w:r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>Step Therapy</w:t>
      </w:r>
    </w:p>
    <w:p w14:paraId="440A392E" w14:textId="63A1AAD7" w:rsidR="005E2989" w:rsidRDefault="005E2989" w:rsidP="00844806">
      <w:pPr>
        <w:spacing w:before="24"/>
        <w:ind w:right="-20"/>
        <w:rPr>
          <w:rFonts w:ascii="Verdana" w:eastAsia="Times New Roman" w:hAnsi="Verdana" w:cs="Times New Roman"/>
          <w:bCs/>
          <w:spacing w:val="2"/>
        </w:rPr>
      </w:pPr>
    </w:p>
    <w:tbl>
      <w:tblPr>
        <w:tblStyle w:val="LightList-Accent5"/>
        <w:tblW w:w="10890" w:type="dxa"/>
        <w:tblInd w:w="-95" w:type="dxa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ayout w:type="fixed"/>
        <w:tblLook w:val="04A0" w:firstRow="1" w:lastRow="0" w:firstColumn="1" w:lastColumn="0" w:noHBand="0" w:noVBand="1"/>
      </w:tblPr>
      <w:tblGrid>
        <w:gridCol w:w="10890"/>
      </w:tblGrid>
      <w:tr w:rsidR="004B4A2D" w:rsidRPr="00BA7E1A" w14:paraId="39A37783" w14:textId="77777777" w:rsidTr="004A49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0" w:type="dxa"/>
            <w:shd w:val="clear" w:color="auto" w:fill="00205B"/>
          </w:tcPr>
          <w:p w14:paraId="1C3508E8" w14:textId="27723C7B" w:rsidR="004B4A2D" w:rsidRPr="00852F8C" w:rsidRDefault="004B4A2D" w:rsidP="00FB392C">
            <w:pPr>
              <w:spacing w:after="240"/>
              <w:rPr>
                <w:rFonts w:ascii="Verdana" w:hAnsi="Verdana"/>
                <w:sz w:val="20"/>
                <w:szCs w:val="20"/>
              </w:rPr>
            </w:pPr>
            <w:r w:rsidRPr="00852F8C">
              <w:rPr>
                <w:rFonts w:ascii="Verdana" w:hAnsi="Verdana"/>
                <w:sz w:val="20"/>
                <w:szCs w:val="20"/>
              </w:rPr>
              <w:t xml:space="preserve">New </w:t>
            </w:r>
            <w:r w:rsidR="004A4967" w:rsidRPr="00852F8C">
              <w:rPr>
                <w:rFonts w:ascii="Verdana" w:hAnsi="Verdana"/>
                <w:sz w:val="20"/>
                <w:szCs w:val="20"/>
              </w:rPr>
              <w:t>Drug</w:t>
            </w:r>
            <w:r w:rsidRPr="00852F8C">
              <w:rPr>
                <w:rFonts w:ascii="Verdana" w:hAnsi="Verdana"/>
                <w:sz w:val="20"/>
                <w:szCs w:val="20"/>
              </w:rPr>
              <w:t xml:space="preserve"> Review </w:t>
            </w:r>
          </w:p>
        </w:tc>
      </w:tr>
    </w:tbl>
    <w:tbl>
      <w:tblPr>
        <w:tblStyle w:val="TableGrid"/>
        <w:tblW w:w="1089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3240"/>
        <w:gridCol w:w="3150"/>
        <w:gridCol w:w="3060"/>
        <w:gridCol w:w="1440"/>
      </w:tblGrid>
      <w:tr w:rsidR="00E77836" w14:paraId="28A73A21" w14:textId="77777777" w:rsidTr="0073594F">
        <w:tc>
          <w:tcPr>
            <w:tcW w:w="3240" w:type="dxa"/>
          </w:tcPr>
          <w:p w14:paraId="4F2C9E27" w14:textId="77777777" w:rsidR="004B4A2D" w:rsidRPr="00C45D79" w:rsidRDefault="004B4A2D" w:rsidP="00FB392C">
            <w:pPr>
              <w:spacing w:after="240"/>
              <w:rPr>
                <w:rFonts w:ascii="Verdana" w:hAnsi="Verdana"/>
                <w:sz w:val="20"/>
                <w:szCs w:val="20"/>
              </w:rPr>
            </w:pPr>
            <w:r w:rsidRPr="00C45D79">
              <w:rPr>
                <w:rFonts w:ascii="Verdana" w:hAnsi="Verdana"/>
                <w:b/>
                <w:bCs/>
                <w:sz w:val="20"/>
                <w:szCs w:val="20"/>
              </w:rPr>
              <w:t xml:space="preserve">Drug </w:t>
            </w:r>
          </w:p>
        </w:tc>
        <w:tc>
          <w:tcPr>
            <w:tcW w:w="3150" w:type="dxa"/>
          </w:tcPr>
          <w:p w14:paraId="7DBC1588" w14:textId="492A40AC" w:rsidR="004B4A2D" w:rsidRPr="00C45D79" w:rsidRDefault="004B4A2D" w:rsidP="00FB392C">
            <w:pPr>
              <w:spacing w:after="24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Indication</w:t>
            </w:r>
          </w:p>
        </w:tc>
        <w:tc>
          <w:tcPr>
            <w:tcW w:w="3060" w:type="dxa"/>
          </w:tcPr>
          <w:p w14:paraId="6E42E2D8" w14:textId="302EC425" w:rsidR="004B4A2D" w:rsidRPr="00C45D79" w:rsidRDefault="004B4A2D" w:rsidP="00FB392C">
            <w:pPr>
              <w:spacing w:after="24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Formulary Coverage</w:t>
            </w:r>
          </w:p>
        </w:tc>
        <w:tc>
          <w:tcPr>
            <w:tcW w:w="1440" w:type="dxa"/>
          </w:tcPr>
          <w:p w14:paraId="3392FAAB" w14:textId="66DD6409" w:rsidR="004B4A2D" w:rsidRPr="00C45D79" w:rsidRDefault="004B4A2D" w:rsidP="00FB392C">
            <w:pPr>
              <w:spacing w:after="24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Effective Date</w:t>
            </w:r>
          </w:p>
        </w:tc>
      </w:tr>
      <w:tr w:rsidR="0073594F" w:rsidRPr="00852F8C" w14:paraId="2427BC04" w14:textId="77777777" w:rsidTr="0073594F">
        <w:tc>
          <w:tcPr>
            <w:tcW w:w="3240" w:type="dxa"/>
          </w:tcPr>
          <w:p w14:paraId="326DCCD2" w14:textId="261B0017" w:rsidR="0073594F" w:rsidRPr="002530EB" w:rsidRDefault="00AB06B1" w:rsidP="0073594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proofErr w:type="spellStart"/>
            <w:r w:rsidRPr="00AB06B1">
              <w:rPr>
                <w:rFonts w:ascii="Verdana" w:hAnsi="Verdana" w:cstheme="minorHAnsi"/>
                <w:sz w:val="20"/>
                <w:szCs w:val="20"/>
              </w:rPr>
              <w:t>Xdemvy</w:t>
            </w:r>
            <w:proofErr w:type="spellEnd"/>
            <w:r w:rsidRPr="00AB06B1">
              <w:rPr>
                <w:rFonts w:ascii="Verdana" w:hAnsi="Verdana" w:cstheme="minorHAnsi"/>
                <w:sz w:val="20"/>
                <w:szCs w:val="20"/>
              </w:rPr>
              <w:t xml:space="preserve"> (</w:t>
            </w:r>
            <w:proofErr w:type="spellStart"/>
            <w:r w:rsidRPr="00AB06B1">
              <w:rPr>
                <w:rFonts w:ascii="Verdana" w:hAnsi="Verdana" w:cstheme="minorHAnsi"/>
                <w:sz w:val="20"/>
                <w:szCs w:val="20"/>
              </w:rPr>
              <w:t>lotilaner</w:t>
            </w:r>
            <w:proofErr w:type="spellEnd"/>
            <w:r w:rsidRPr="00AB06B1">
              <w:rPr>
                <w:rFonts w:ascii="Verdana" w:hAnsi="Verdana" w:cstheme="minorHAnsi"/>
                <w:sz w:val="20"/>
                <w:szCs w:val="20"/>
              </w:rPr>
              <w:t>)</w:t>
            </w:r>
          </w:p>
        </w:tc>
        <w:tc>
          <w:tcPr>
            <w:tcW w:w="3150" w:type="dxa"/>
          </w:tcPr>
          <w:p w14:paraId="39575D0C" w14:textId="43571075" w:rsidR="0073594F" w:rsidRPr="00837406" w:rsidRDefault="00AB06B1" w:rsidP="0073594F">
            <w:pPr>
              <w:rPr>
                <w:rFonts w:ascii="Verdana" w:hAnsi="Verdana"/>
                <w:sz w:val="20"/>
                <w:szCs w:val="20"/>
                <w:u w:val="single"/>
              </w:rPr>
            </w:pPr>
            <w:r w:rsidRPr="00AB06B1">
              <w:rPr>
                <w:rFonts w:ascii="Verdana" w:hAnsi="Verdana"/>
                <w:sz w:val="20"/>
                <w:szCs w:val="20"/>
              </w:rPr>
              <w:t>For the treatment of Demodex blepharitis (DB)</w:t>
            </w:r>
          </w:p>
        </w:tc>
        <w:tc>
          <w:tcPr>
            <w:tcW w:w="3060" w:type="dxa"/>
          </w:tcPr>
          <w:p w14:paraId="01BA5FB5" w14:textId="7E1F3B7B" w:rsidR="0073594F" w:rsidRPr="008A03E8" w:rsidRDefault="0073594F" w:rsidP="0073594F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8A03E8">
              <w:rPr>
                <w:rFonts w:ascii="Verdana" w:hAnsi="Verdana"/>
                <w:sz w:val="20"/>
                <w:szCs w:val="20"/>
              </w:rPr>
              <w:t>Medicare: Formulary</w:t>
            </w:r>
          </w:p>
          <w:p w14:paraId="65F65D6C" w14:textId="0F39DBDE" w:rsidR="0073594F" w:rsidRPr="008A03E8" w:rsidRDefault="0073594F" w:rsidP="0073594F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8A03E8">
              <w:rPr>
                <w:rFonts w:ascii="Verdana" w:hAnsi="Verdana"/>
                <w:sz w:val="20"/>
                <w:szCs w:val="20"/>
              </w:rPr>
              <w:t>Medicaid: Formulary</w:t>
            </w:r>
          </w:p>
          <w:p w14:paraId="376ADAB1" w14:textId="39B482A1" w:rsidR="0073594F" w:rsidRPr="008A03E8" w:rsidRDefault="0073594F" w:rsidP="0073594F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8A03E8">
              <w:rPr>
                <w:rFonts w:ascii="Verdana" w:hAnsi="Verdana"/>
                <w:sz w:val="20"/>
                <w:szCs w:val="20"/>
              </w:rPr>
              <w:t>Exchange: Formulary</w:t>
            </w:r>
          </w:p>
          <w:p w14:paraId="22F75EC4" w14:textId="77777777" w:rsidR="0073594F" w:rsidRPr="008A03E8" w:rsidRDefault="0073594F" w:rsidP="0073594F">
            <w:pPr>
              <w:rPr>
                <w:rFonts w:ascii="Verdana" w:hAnsi="Verdana"/>
                <w:sz w:val="20"/>
                <w:szCs w:val="20"/>
              </w:rPr>
            </w:pPr>
          </w:p>
          <w:p w14:paraId="44B475AE" w14:textId="20D84793" w:rsidR="0073594F" w:rsidRPr="008A03E8" w:rsidRDefault="0073594F" w:rsidP="0073594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B112B8" w14:textId="78B85DD8" w:rsidR="0073594F" w:rsidRPr="00852F8C" w:rsidRDefault="0073594F" w:rsidP="0073594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t>NA</w:t>
            </w:r>
          </w:p>
        </w:tc>
      </w:tr>
    </w:tbl>
    <w:p w14:paraId="30725D2E" w14:textId="2E6D7891" w:rsidR="00C36463" w:rsidRPr="00852F8C" w:rsidRDefault="00C36463">
      <w:pPr>
        <w:spacing w:line="200" w:lineRule="exact"/>
        <w:rPr>
          <w:rFonts w:ascii="Verdana" w:hAnsi="Verdana"/>
          <w:sz w:val="20"/>
          <w:szCs w:val="20"/>
        </w:rPr>
      </w:pPr>
    </w:p>
    <w:p w14:paraId="38B717C3" w14:textId="77777777" w:rsidR="00C36463" w:rsidRPr="00852F8C" w:rsidRDefault="00C36463">
      <w:pPr>
        <w:spacing w:line="200" w:lineRule="exact"/>
        <w:rPr>
          <w:rFonts w:ascii="Verdana" w:hAnsi="Verdana"/>
          <w:sz w:val="20"/>
          <w:szCs w:val="20"/>
        </w:rPr>
      </w:pPr>
    </w:p>
    <w:p w14:paraId="571B2695" w14:textId="5287B6A3" w:rsidR="001B05E8" w:rsidRPr="00015A48" w:rsidRDefault="000A6E31" w:rsidP="00015A48">
      <w:pPr>
        <w:spacing w:line="200" w:lineRule="exact"/>
        <w:jc w:val="both"/>
        <w:rPr>
          <w:rFonts w:ascii="Verdana" w:eastAsia="Times New Roman" w:hAnsi="Verdana" w:cs="Arial"/>
          <w:b/>
          <w:sz w:val="20"/>
          <w:szCs w:val="20"/>
        </w:rPr>
      </w:pPr>
      <w:r w:rsidRPr="00852F8C">
        <w:rPr>
          <w:rFonts w:ascii="Verdana" w:eastAsia="Times New Roman" w:hAnsi="Verdana" w:cs="Arial"/>
          <w:b/>
          <w:sz w:val="20"/>
          <w:szCs w:val="20"/>
        </w:rPr>
        <w:t xml:space="preserve">Formulary changes for New Generics, New Indications and Miscellaneous Previously Reviewed drugs are effective </w:t>
      </w:r>
      <w:r w:rsidR="000D21C7">
        <w:rPr>
          <w:rFonts w:ascii="Verdana" w:eastAsia="Times New Roman" w:hAnsi="Verdana" w:cs="Arial"/>
          <w:b/>
          <w:sz w:val="20"/>
          <w:szCs w:val="20"/>
        </w:rPr>
        <w:t>05</w:t>
      </w:r>
      <w:r w:rsidR="00BE479A">
        <w:rPr>
          <w:rFonts w:ascii="Verdana" w:eastAsia="Times New Roman" w:hAnsi="Verdana" w:cs="Arial"/>
          <w:b/>
          <w:sz w:val="20"/>
          <w:szCs w:val="20"/>
        </w:rPr>
        <w:t>/01</w:t>
      </w:r>
      <w:r w:rsidRPr="00BE479A">
        <w:rPr>
          <w:rFonts w:ascii="Verdana" w:eastAsia="Times New Roman" w:hAnsi="Verdana" w:cs="Arial"/>
          <w:b/>
          <w:sz w:val="20"/>
          <w:szCs w:val="20"/>
        </w:rPr>
        <w:t>/202</w:t>
      </w:r>
      <w:r w:rsidR="0081196F">
        <w:rPr>
          <w:rFonts w:ascii="Verdana" w:eastAsia="Times New Roman" w:hAnsi="Verdana" w:cs="Arial"/>
          <w:b/>
          <w:sz w:val="20"/>
          <w:szCs w:val="20"/>
        </w:rPr>
        <w:t>4</w:t>
      </w:r>
      <w:r w:rsidRPr="00BE479A">
        <w:rPr>
          <w:rFonts w:ascii="Verdana" w:eastAsia="Times New Roman" w:hAnsi="Verdana" w:cs="Arial"/>
          <w:b/>
          <w:sz w:val="20"/>
          <w:szCs w:val="20"/>
        </w:rPr>
        <w:t>.</w:t>
      </w:r>
    </w:p>
    <w:p w14:paraId="4909B206" w14:textId="77777777" w:rsidR="001B05E8" w:rsidRPr="00852F8C" w:rsidRDefault="001B05E8" w:rsidP="006B16C1">
      <w:pPr>
        <w:rPr>
          <w:rFonts w:ascii="Verdana" w:eastAsia="Times New Roman" w:hAnsi="Verdana" w:cs="Arial"/>
          <w:b/>
          <w:sz w:val="20"/>
          <w:szCs w:val="20"/>
          <w:u w:val="single"/>
        </w:rPr>
      </w:pPr>
    </w:p>
    <w:tbl>
      <w:tblPr>
        <w:tblStyle w:val="LightList-Accent5"/>
        <w:tblW w:w="10885" w:type="dxa"/>
        <w:tblInd w:w="-95" w:type="dxa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ayout w:type="fixed"/>
        <w:tblLook w:val="04A0" w:firstRow="1" w:lastRow="0" w:firstColumn="1" w:lastColumn="0" w:noHBand="0" w:noVBand="1"/>
      </w:tblPr>
      <w:tblGrid>
        <w:gridCol w:w="10885"/>
      </w:tblGrid>
      <w:tr w:rsidR="00153FC2" w:rsidRPr="00852F8C" w14:paraId="2C07B094" w14:textId="77777777" w:rsidTr="00D901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5" w:type="dxa"/>
            <w:shd w:val="clear" w:color="auto" w:fill="00205B"/>
          </w:tcPr>
          <w:p w14:paraId="71E652E9" w14:textId="77777777" w:rsidR="004C5F89" w:rsidRPr="00852F8C" w:rsidRDefault="00153FC2" w:rsidP="005247AA">
            <w:pPr>
              <w:spacing w:after="240"/>
              <w:rPr>
                <w:rFonts w:ascii="Verdana" w:eastAsia="Times New Roman" w:hAnsi="Verdana" w:cs="Arial"/>
                <w:sz w:val="20"/>
                <w:szCs w:val="20"/>
              </w:rPr>
            </w:pPr>
            <w:bookmarkStart w:id="0" w:name="_Hlk98851985"/>
            <w:r w:rsidRPr="00852F8C">
              <w:rPr>
                <w:rFonts w:ascii="Verdana" w:eastAsia="Times New Roman" w:hAnsi="Verdana" w:cs="Arial"/>
                <w:sz w:val="20"/>
                <w:szCs w:val="20"/>
              </w:rPr>
              <w:t xml:space="preserve">New Indications Review </w:t>
            </w:r>
          </w:p>
        </w:tc>
      </w:tr>
    </w:tbl>
    <w:tbl>
      <w:tblPr>
        <w:tblStyle w:val="TableGrid"/>
        <w:tblW w:w="10917" w:type="dxa"/>
        <w:tblInd w:w="-95" w:type="dxa"/>
        <w:tblLook w:val="04A0" w:firstRow="1" w:lastRow="0" w:firstColumn="1" w:lastColumn="0" w:noHBand="0" w:noVBand="1"/>
      </w:tblPr>
      <w:tblGrid>
        <w:gridCol w:w="2430"/>
        <w:gridCol w:w="4230"/>
        <w:gridCol w:w="4257"/>
      </w:tblGrid>
      <w:tr w:rsidR="004F2F90" w:rsidRPr="00852F8C" w14:paraId="4B7C4753" w14:textId="77777777" w:rsidTr="00296E12">
        <w:trPr>
          <w:trHeight w:val="566"/>
        </w:trPr>
        <w:tc>
          <w:tcPr>
            <w:tcW w:w="2430" w:type="dxa"/>
          </w:tcPr>
          <w:p w14:paraId="48E65DDF" w14:textId="5B200CEC" w:rsidR="004F2F90" w:rsidRPr="00852F8C" w:rsidRDefault="004F2F90" w:rsidP="004F2F90">
            <w:pPr>
              <w:spacing w:after="240"/>
              <w:rPr>
                <w:rFonts w:ascii="Verdana" w:eastAsia="Times New Roman" w:hAnsi="Verdana" w:cs="Arial"/>
                <w:sz w:val="20"/>
                <w:szCs w:val="20"/>
              </w:rPr>
            </w:pPr>
            <w:r w:rsidRPr="00852F8C">
              <w:rPr>
                <w:rFonts w:ascii="Verdana" w:hAnsi="Verdana"/>
                <w:b/>
                <w:bCs/>
                <w:sz w:val="20"/>
                <w:szCs w:val="20"/>
              </w:rPr>
              <w:t>Drug</w:t>
            </w:r>
          </w:p>
        </w:tc>
        <w:tc>
          <w:tcPr>
            <w:tcW w:w="4230" w:type="dxa"/>
          </w:tcPr>
          <w:p w14:paraId="48AC1C2A" w14:textId="4EC1C9F5" w:rsidR="004F2F90" w:rsidRPr="00852F8C" w:rsidRDefault="004F2F90" w:rsidP="004F2F90">
            <w:pPr>
              <w:spacing w:after="240"/>
              <w:rPr>
                <w:rFonts w:ascii="Verdana" w:eastAsia="Times New Roman" w:hAnsi="Verdana" w:cs="Arial"/>
                <w:sz w:val="20"/>
                <w:szCs w:val="20"/>
              </w:rPr>
            </w:pPr>
            <w:r w:rsidRPr="00852F8C">
              <w:rPr>
                <w:rFonts w:ascii="Verdana" w:hAnsi="Verdana"/>
                <w:b/>
                <w:sz w:val="20"/>
                <w:szCs w:val="20"/>
              </w:rPr>
              <w:t>Current formulary status</w:t>
            </w:r>
          </w:p>
        </w:tc>
        <w:tc>
          <w:tcPr>
            <w:tcW w:w="4257" w:type="dxa"/>
          </w:tcPr>
          <w:p w14:paraId="0DC14B8E" w14:textId="39AC6804" w:rsidR="004F2F90" w:rsidRPr="00852F8C" w:rsidRDefault="004F2F90" w:rsidP="004F2F90">
            <w:pPr>
              <w:spacing w:after="240"/>
              <w:rPr>
                <w:rFonts w:ascii="Verdana" w:eastAsia="Times New Roman" w:hAnsi="Verdana" w:cs="Arial"/>
                <w:sz w:val="20"/>
                <w:szCs w:val="20"/>
              </w:rPr>
            </w:pPr>
            <w:r w:rsidRPr="00852F8C">
              <w:rPr>
                <w:rFonts w:ascii="Verdana" w:hAnsi="Verdana"/>
                <w:b/>
                <w:sz w:val="20"/>
                <w:szCs w:val="20"/>
              </w:rPr>
              <w:t>Recommendation</w:t>
            </w:r>
          </w:p>
        </w:tc>
      </w:tr>
      <w:bookmarkEnd w:id="0"/>
      <w:tr w:rsidR="0099506A" w:rsidRPr="00852F8C" w14:paraId="1B56CDD1" w14:textId="77777777" w:rsidTr="00296E12">
        <w:tc>
          <w:tcPr>
            <w:tcW w:w="2430" w:type="dxa"/>
            <w:shd w:val="clear" w:color="auto" w:fill="auto"/>
          </w:tcPr>
          <w:p w14:paraId="79C91297" w14:textId="03D85290" w:rsidR="0099506A" w:rsidRPr="00852F8C" w:rsidRDefault="005641F0" w:rsidP="0099506A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641F0">
              <w:rPr>
                <w:rFonts w:ascii="Verdana" w:hAnsi="Verdana"/>
                <w:sz w:val="20"/>
                <w:szCs w:val="20"/>
              </w:rPr>
              <w:t>Jaypirca</w:t>
            </w:r>
            <w:proofErr w:type="spellEnd"/>
            <w:r w:rsidRPr="005641F0">
              <w:rPr>
                <w:rFonts w:ascii="Verdana" w:hAnsi="Verdana"/>
                <w:sz w:val="20"/>
                <w:szCs w:val="20"/>
              </w:rPr>
              <w:t xml:space="preserve"> (</w:t>
            </w:r>
            <w:proofErr w:type="spellStart"/>
            <w:r w:rsidRPr="005641F0">
              <w:rPr>
                <w:rFonts w:ascii="Verdana" w:hAnsi="Verdana"/>
                <w:sz w:val="20"/>
                <w:szCs w:val="20"/>
              </w:rPr>
              <w:t>pirtobrutinib</w:t>
            </w:r>
            <w:proofErr w:type="spellEnd"/>
            <w:r w:rsidRPr="005641F0">
              <w:rPr>
                <w:rFonts w:ascii="Verdana" w:hAnsi="Verdana"/>
                <w:sz w:val="20"/>
                <w:szCs w:val="20"/>
              </w:rPr>
              <w:t xml:space="preserve">) 50 &amp; 100 mg tablets for chronic lymphocytic leukemia (CLL) or small lymphocytic lymphoma (SLL) </w:t>
            </w:r>
          </w:p>
        </w:tc>
        <w:tc>
          <w:tcPr>
            <w:tcW w:w="4230" w:type="dxa"/>
            <w:shd w:val="clear" w:color="auto" w:fill="auto"/>
          </w:tcPr>
          <w:p w14:paraId="17CBC013" w14:textId="77777777" w:rsidR="005641F0" w:rsidRPr="00B01345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  <w:r w:rsidRPr="00B01345">
              <w:rPr>
                <w:rFonts w:ascii="Verdana" w:hAnsi="Verdana"/>
                <w:sz w:val="20"/>
                <w:szCs w:val="20"/>
              </w:rPr>
              <w:t xml:space="preserve">Medicare –F, </w:t>
            </w:r>
            <w:r>
              <w:rPr>
                <w:rFonts w:ascii="Verdana" w:hAnsi="Verdana"/>
                <w:sz w:val="20"/>
                <w:szCs w:val="20"/>
              </w:rPr>
              <w:t xml:space="preserve">PPO – F, </w:t>
            </w:r>
            <w:r w:rsidRPr="00B01345">
              <w:rPr>
                <w:rFonts w:ascii="Verdana" w:hAnsi="Verdana"/>
                <w:sz w:val="20"/>
                <w:szCs w:val="20"/>
              </w:rPr>
              <w:t xml:space="preserve">Medicaid – </w:t>
            </w:r>
            <w:r>
              <w:rPr>
                <w:rFonts w:ascii="Verdana" w:hAnsi="Verdana"/>
                <w:sz w:val="20"/>
                <w:szCs w:val="20"/>
              </w:rPr>
              <w:t>F</w:t>
            </w:r>
            <w:r w:rsidRPr="00B01345">
              <w:rPr>
                <w:rFonts w:ascii="Verdana" w:hAnsi="Verdana"/>
                <w:sz w:val="20"/>
                <w:szCs w:val="20"/>
              </w:rPr>
              <w:t>, HIX –</w:t>
            </w:r>
            <w:r>
              <w:rPr>
                <w:rFonts w:ascii="Verdana" w:hAnsi="Verdana"/>
                <w:sz w:val="20"/>
                <w:szCs w:val="20"/>
              </w:rPr>
              <w:t>F</w:t>
            </w:r>
          </w:p>
          <w:p w14:paraId="31DB2A16" w14:textId="1E15B213" w:rsidR="0099506A" w:rsidRPr="00852F8C" w:rsidRDefault="0099506A" w:rsidP="0099506A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4257" w:type="dxa"/>
            <w:shd w:val="clear" w:color="auto" w:fill="auto"/>
          </w:tcPr>
          <w:p w14:paraId="2BE7CAE7" w14:textId="77777777" w:rsidR="005641F0" w:rsidRPr="00B01345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  <w:r w:rsidRPr="00B01345">
              <w:rPr>
                <w:rFonts w:ascii="Verdana" w:hAnsi="Verdana"/>
                <w:sz w:val="20"/>
                <w:szCs w:val="20"/>
              </w:rPr>
              <w:t xml:space="preserve">Medicare –F, </w:t>
            </w:r>
            <w:r>
              <w:rPr>
                <w:rFonts w:ascii="Verdana" w:hAnsi="Verdana"/>
                <w:sz w:val="20"/>
                <w:szCs w:val="20"/>
              </w:rPr>
              <w:t xml:space="preserve">PPO – F, </w:t>
            </w:r>
            <w:r w:rsidRPr="00B01345">
              <w:rPr>
                <w:rFonts w:ascii="Verdana" w:hAnsi="Verdana"/>
                <w:sz w:val="20"/>
                <w:szCs w:val="20"/>
              </w:rPr>
              <w:t xml:space="preserve">Medicaid – </w:t>
            </w:r>
            <w:r>
              <w:rPr>
                <w:rFonts w:ascii="Verdana" w:hAnsi="Verdana"/>
                <w:sz w:val="20"/>
                <w:szCs w:val="20"/>
              </w:rPr>
              <w:t>F</w:t>
            </w:r>
            <w:r w:rsidRPr="00B01345">
              <w:rPr>
                <w:rFonts w:ascii="Verdana" w:hAnsi="Verdana"/>
                <w:sz w:val="20"/>
                <w:szCs w:val="20"/>
              </w:rPr>
              <w:t>, HIX –</w:t>
            </w:r>
            <w:r>
              <w:rPr>
                <w:rFonts w:ascii="Verdana" w:hAnsi="Verdana"/>
                <w:sz w:val="20"/>
                <w:szCs w:val="20"/>
              </w:rPr>
              <w:t>F</w:t>
            </w:r>
          </w:p>
          <w:p w14:paraId="3FEA51F4" w14:textId="3503BEF9" w:rsidR="0099506A" w:rsidRPr="00852F8C" w:rsidRDefault="0099506A" w:rsidP="0099506A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5641F0" w:rsidRPr="00852F8C" w14:paraId="40C03084" w14:textId="77777777" w:rsidTr="00BD0C1E">
        <w:trPr>
          <w:trHeight w:val="503"/>
        </w:trPr>
        <w:tc>
          <w:tcPr>
            <w:tcW w:w="2430" w:type="dxa"/>
            <w:shd w:val="clear" w:color="auto" w:fill="auto"/>
          </w:tcPr>
          <w:p w14:paraId="6C228C09" w14:textId="566D0764" w:rsidR="005641F0" w:rsidRPr="00852F8C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DB5BC0">
              <w:rPr>
                <w:rFonts w:ascii="Verdana" w:hAnsi="Verdana"/>
                <w:sz w:val="20"/>
                <w:szCs w:val="20"/>
              </w:rPr>
              <w:t>Cresemba</w:t>
            </w:r>
            <w:proofErr w:type="spellEnd"/>
            <w:r w:rsidRPr="00DB5BC0">
              <w:rPr>
                <w:rFonts w:ascii="Verdana" w:hAnsi="Verdana"/>
                <w:sz w:val="20"/>
                <w:szCs w:val="20"/>
              </w:rPr>
              <w:t xml:space="preserve"> (</w:t>
            </w:r>
            <w:proofErr w:type="spellStart"/>
            <w:r w:rsidRPr="00DB5BC0">
              <w:rPr>
                <w:rFonts w:ascii="Verdana" w:hAnsi="Verdana"/>
                <w:sz w:val="20"/>
                <w:szCs w:val="20"/>
              </w:rPr>
              <w:t>isavuconazonium</w:t>
            </w:r>
            <w:proofErr w:type="spellEnd"/>
            <w:r w:rsidRPr="00DB5BC0">
              <w:rPr>
                <w:rFonts w:ascii="Verdana" w:hAnsi="Verdana"/>
                <w:sz w:val="20"/>
                <w:szCs w:val="20"/>
              </w:rPr>
              <w:t xml:space="preserve"> sulfate) 74.5 &amp; 186 mg capsules and 372 mg vial for injection for invasive aspergillosis and </w:t>
            </w:r>
            <w:r w:rsidRPr="00DB5BC0">
              <w:rPr>
                <w:rFonts w:ascii="Verdana" w:hAnsi="Verdana"/>
                <w:sz w:val="20"/>
                <w:szCs w:val="20"/>
              </w:rPr>
              <w:lastRenderedPageBreak/>
              <w:t xml:space="preserve">invasive </w:t>
            </w:r>
            <w:proofErr w:type="spellStart"/>
            <w:r w:rsidRPr="00DB5BC0">
              <w:rPr>
                <w:rFonts w:ascii="Verdana" w:hAnsi="Verdana"/>
                <w:sz w:val="20"/>
                <w:szCs w:val="20"/>
              </w:rPr>
              <w:t>mucormycosis</w:t>
            </w:r>
            <w:proofErr w:type="spellEnd"/>
            <w:r w:rsidRPr="00DB5BC0">
              <w:rPr>
                <w:rFonts w:ascii="Verdana" w:hAnsi="Verdana"/>
                <w:sz w:val="20"/>
                <w:szCs w:val="20"/>
              </w:rPr>
              <w:t xml:space="preserve"> age expansion </w:t>
            </w:r>
          </w:p>
        </w:tc>
        <w:tc>
          <w:tcPr>
            <w:tcW w:w="4230" w:type="dxa"/>
            <w:shd w:val="clear" w:color="auto" w:fill="auto"/>
          </w:tcPr>
          <w:p w14:paraId="76351F91" w14:textId="77777777" w:rsidR="005641F0" w:rsidRPr="00205EDD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  <w:r w:rsidRPr="00205EDD">
              <w:rPr>
                <w:rFonts w:ascii="Verdana" w:hAnsi="Verdana"/>
                <w:sz w:val="20"/>
                <w:szCs w:val="20"/>
              </w:rPr>
              <w:lastRenderedPageBreak/>
              <w:t>Medicare –</w:t>
            </w:r>
            <w:r>
              <w:rPr>
                <w:rFonts w:ascii="Verdana" w:hAnsi="Verdana"/>
                <w:sz w:val="20"/>
                <w:szCs w:val="20"/>
              </w:rPr>
              <w:t>N</w:t>
            </w:r>
            <w:r w:rsidRPr="00205EDD">
              <w:rPr>
                <w:rFonts w:ascii="Verdana" w:hAnsi="Verdana"/>
                <w:sz w:val="20"/>
                <w:szCs w:val="20"/>
              </w:rPr>
              <w:t>F,</w:t>
            </w:r>
            <w:r>
              <w:rPr>
                <w:rFonts w:ascii="Verdana" w:hAnsi="Verdana"/>
                <w:sz w:val="20"/>
                <w:szCs w:val="20"/>
              </w:rPr>
              <w:t xml:space="preserve"> PPO – NF, </w:t>
            </w:r>
            <w:r w:rsidRPr="00205EDD">
              <w:rPr>
                <w:rFonts w:ascii="Verdana" w:hAnsi="Verdana"/>
                <w:sz w:val="20"/>
                <w:szCs w:val="20"/>
              </w:rPr>
              <w:t xml:space="preserve">Medicaid – </w:t>
            </w:r>
            <w:r>
              <w:rPr>
                <w:rFonts w:ascii="Verdana" w:hAnsi="Verdana"/>
                <w:sz w:val="20"/>
                <w:szCs w:val="20"/>
              </w:rPr>
              <w:t>NP</w:t>
            </w:r>
            <w:r w:rsidRPr="00205EDD">
              <w:rPr>
                <w:rFonts w:ascii="Verdana" w:hAnsi="Verdana"/>
                <w:sz w:val="20"/>
                <w:szCs w:val="20"/>
              </w:rPr>
              <w:t xml:space="preserve">, HIX – </w:t>
            </w:r>
            <w:r>
              <w:rPr>
                <w:rFonts w:ascii="Verdana" w:hAnsi="Verdana"/>
                <w:sz w:val="20"/>
                <w:szCs w:val="20"/>
              </w:rPr>
              <w:t>N</w:t>
            </w:r>
            <w:r w:rsidRPr="00205EDD">
              <w:rPr>
                <w:rFonts w:ascii="Verdana" w:hAnsi="Verdana"/>
                <w:sz w:val="20"/>
                <w:szCs w:val="20"/>
              </w:rPr>
              <w:t>F</w:t>
            </w:r>
          </w:p>
          <w:p w14:paraId="04632F8E" w14:textId="38C9CF0D" w:rsidR="005641F0" w:rsidRPr="00852F8C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7" w:type="dxa"/>
            <w:shd w:val="clear" w:color="auto" w:fill="auto"/>
          </w:tcPr>
          <w:p w14:paraId="6F08F52F" w14:textId="77777777" w:rsidR="005641F0" w:rsidRPr="00205EDD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  <w:r w:rsidRPr="00205EDD">
              <w:rPr>
                <w:rFonts w:ascii="Verdana" w:hAnsi="Verdana"/>
                <w:sz w:val="20"/>
                <w:szCs w:val="20"/>
              </w:rPr>
              <w:t>Medicare –</w:t>
            </w:r>
            <w:r>
              <w:rPr>
                <w:rFonts w:ascii="Verdana" w:hAnsi="Verdana"/>
                <w:sz w:val="20"/>
                <w:szCs w:val="20"/>
              </w:rPr>
              <w:t>N</w:t>
            </w:r>
            <w:r w:rsidRPr="00205EDD">
              <w:rPr>
                <w:rFonts w:ascii="Verdana" w:hAnsi="Verdana"/>
                <w:sz w:val="20"/>
                <w:szCs w:val="20"/>
              </w:rPr>
              <w:t>F,</w:t>
            </w:r>
            <w:r>
              <w:rPr>
                <w:rFonts w:ascii="Verdana" w:hAnsi="Verdana"/>
                <w:sz w:val="20"/>
                <w:szCs w:val="20"/>
              </w:rPr>
              <w:t xml:space="preserve"> PPO – NF, </w:t>
            </w:r>
            <w:r w:rsidRPr="00205EDD">
              <w:rPr>
                <w:rFonts w:ascii="Verdana" w:hAnsi="Verdana"/>
                <w:sz w:val="20"/>
                <w:szCs w:val="20"/>
              </w:rPr>
              <w:t xml:space="preserve">Medicaid – </w:t>
            </w:r>
            <w:r>
              <w:rPr>
                <w:rFonts w:ascii="Verdana" w:hAnsi="Verdana"/>
                <w:sz w:val="20"/>
                <w:szCs w:val="20"/>
              </w:rPr>
              <w:t>NP</w:t>
            </w:r>
            <w:r w:rsidRPr="00205EDD">
              <w:rPr>
                <w:rFonts w:ascii="Verdana" w:hAnsi="Verdana"/>
                <w:sz w:val="20"/>
                <w:szCs w:val="20"/>
              </w:rPr>
              <w:t xml:space="preserve">, HIX – </w:t>
            </w:r>
            <w:r>
              <w:rPr>
                <w:rFonts w:ascii="Verdana" w:hAnsi="Verdana"/>
                <w:sz w:val="20"/>
                <w:szCs w:val="20"/>
              </w:rPr>
              <w:t>N</w:t>
            </w:r>
            <w:r w:rsidRPr="00205EDD">
              <w:rPr>
                <w:rFonts w:ascii="Verdana" w:hAnsi="Verdana"/>
                <w:sz w:val="20"/>
                <w:szCs w:val="20"/>
              </w:rPr>
              <w:t>F</w:t>
            </w:r>
          </w:p>
          <w:p w14:paraId="6C241ED8" w14:textId="19003A50" w:rsidR="005641F0" w:rsidRPr="00BD0C1E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641F0" w:rsidRPr="00852F8C" w14:paraId="7403E543" w14:textId="77777777" w:rsidTr="00296E12">
        <w:tc>
          <w:tcPr>
            <w:tcW w:w="2430" w:type="dxa"/>
            <w:shd w:val="clear" w:color="auto" w:fill="auto"/>
          </w:tcPr>
          <w:p w14:paraId="28120F19" w14:textId="2C5716A7" w:rsidR="005641F0" w:rsidRPr="00852F8C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DB5BC0">
              <w:rPr>
                <w:rFonts w:ascii="Verdana" w:hAnsi="Verdana"/>
                <w:sz w:val="20"/>
                <w:szCs w:val="20"/>
              </w:rPr>
              <w:t>Tarpeyo</w:t>
            </w:r>
            <w:proofErr w:type="spellEnd"/>
            <w:r w:rsidRPr="00DB5BC0">
              <w:rPr>
                <w:rFonts w:ascii="Verdana" w:hAnsi="Verdana"/>
                <w:sz w:val="20"/>
                <w:szCs w:val="20"/>
              </w:rPr>
              <w:t xml:space="preserve"> (budesonide) 4 mg DR capsules to reduce the loss of kidney function in adults with primary immunoglobulin A nephropathy (</w:t>
            </w:r>
            <w:proofErr w:type="spellStart"/>
            <w:r w:rsidRPr="00DB5BC0">
              <w:rPr>
                <w:rFonts w:ascii="Verdana" w:hAnsi="Verdana"/>
                <w:sz w:val="20"/>
                <w:szCs w:val="20"/>
              </w:rPr>
              <w:t>IgAN</w:t>
            </w:r>
            <w:proofErr w:type="spellEnd"/>
            <w:r w:rsidRPr="00DB5BC0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4230" w:type="dxa"/>
            <w:shd w:val="clear" w:color="auto" w:fill="auto"/>
          </w:tcPr>
          <w:p w14:paraId="45B3017D" w14:textId="77777777" w:rsidR="005641F0" w:rsidRPr="00205EDD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  <w:r w:rsidRPr="00205EDD">
              <w:rPr>
                <w:rFonts w:ascii="Verdana" w:hAnsi="Verdana"/>
                <w:sz w:val="20"/>
                <w:szCs w:val="20"/>
              </w:rPr>
              <w:t>Medicare –F,</w:t>
            </w:r>
            <w:r>
              <w:rPr>
                <w:rFonts w:ascii="Verdana" w:hAnsi="Verdana"/>
                <w:sz w:val="20"/>
                <w:szCs w:val="20"/>
              </w:rPr>
              <w:t xml:space="preserve"> PPO – F, </w:t>
            </w:r>
            <w:r w:rsidRPr="00205EDD">
              <w:rPr>
                <w:rFonts w:ascii="Verdana" w:hAnsi="Verdana"/>
                <w:sz w:val="20"/>
                <w:szCs w:val="20"/>
              </w:rPr>
              <w:t xml:space="preserve">Medicaid – </w:t>
            </w:r>
            <w:r>
              <w:rPr>
                <w:rFonts w:ascii="Verdana" w:hAnsi="Verdana"/>
                <w:sz w:val="20"/>
                <w:szCs w:val="20"/>
              </w:rPr>
              <w:t>F</w:t>
            </w:r>
            <w:r w:rsidRPr="00205EDD">
              <w:rPr>
                <w:rFonts w:ascii="Verdana" w:hAnsi="Verdana"/>
                <w:sz w:val="20"/>
                <w:szCs w:val="20"/>
              </w:rPr>
              <w:t>, HIX –F</w:t>
            </w:r>
          </w:p>
          <w:p w14:paraId="57D9EF13" w14:textId="77A907C7" w:rsidR="005641F0" w:rsidRPr="00852F8C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7" w:type="dxa"/>
            <w:shd w:val="clear" w:color="auto" w:fill="auto"/>
          </w:tcPr>
          <w:p w14:paraId="7F4CE429" w14:textId="77777777" w:rsidR="005641F0" w:rsidRPr="00205EDD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  <w:r w:rsidRPr="00205EDD">
              <w:rPr>
                <w:rFonts w:ascii="Verdana" w:hAnsi="Verdana"/>
                <w:sz w:val="20"/>
                <w:szCs w:val="20"/>
              </w:rPr>
              <w:t>Medicare –F,</w:t>
            </w:r>
            <w:r>
              <w:rPr>
                <w:rFonts w:ascii="Verdana" w:hAnsi="Verdana"/>
                <w:sz w:val="20"/>
                <w:szCs w:val="20"/>
              </w:rPr>
              <w:t xml:space="preserve"> PPO – F, </w:t>
            </w:r>
            <w:r w:rsidRPr="00205EDD">
              <w:rPr>
                <w:rFonts w:ascii="Verdana" w:hAnsi="Verdana"/>
                <w:sz w:val="20"/>
                <w:szCs w:val="20"/>
              </w:rPr>
              <w:t xml:space="preserve">Medicaid – </w:t>
            </w:r>
            <w:r>
              <w:rPr>
                <w:rFonts w:ascii="Verdana" w:hAnsi="Verdana"/>
                <w:sz w:val="20"/>
                <w:szCs w:val="20"/>
              </w:rPr>
              <w:t>F</w:t>
            </w:r>
            <w:r w:rsidRPr="00205EDD">
              <w:rPr>
                <w:rFonts w:ascii="Verdana" w:hAnsi="Verdana"/>
                <w:sz w:val="20"/>
                <w:szCs w:val="20"/>
              </w:rPr>
              <w:t>, HIX –F</w:t>
            </w:r>
          </w:p>
          <w:p w14:paraId="5EB58032" w14:textId="1F03B6C9" w:rsidR="005641F0" w:rsidRPr="00852F8C" w:rsidRDefault="005641F0" w:rsidP="005641F0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5641F0" w:rsidRPr="00852F8C" w14:paraId="7F7B60B7" w14:textId="77777777" w:rsidTr="00296E12">
        <w:tc>
          <w:tcPr>
            <w:tcW w:w="2430" w:type="dxa"/>
            <w:shd w:val="clear" w:color="auto" w:fill="auto"/>
          </w:tcPr>
          <w:p w14:paraId="547F3925" w14:textId="240CC76E" w:rsidR="005641F0" w:rsidRPr="006E7EE6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DB5BC0">
              <w:rPr>
                <w:rFonts w:ascii="Verdana" w:hAnsi="Verdana"/>
                <w:sz w:val="20"/>
                <w:szCs w:val="20"/>
              </w:rPr>
              <w:t>Adbry</w:t>
            </w:r>
            <w:proofErr w:type="spellEnd"/>
            <w:r w:rsidRPr="00DB5BC0">
              <w:rPr>
                <w:rFonts w:ascii="Verdana" w:hAnsi="Verdana"/>
                <w:sz w:val="20"/>
                <w:szCs w:val="20"/>
              </w:rPr>
              <w:t xml:space="preserve"> (tralokinumab) 150 mg/mL injection for subcutaneous administration for moderate-severe atopic dermatitis age expansion </w:t>
            </w:r>
          </w:p>
        </w:tc>
        <w:tc>
          <w:tcPr>
            <w:tcW w:w="4230" w:type="dxa"/>
            <w:shd w:val="clear" w:color="auto" w:fill="auto"/>
          </w:tcPr>
          <w:p w14:paraId="43D9EB3C" w14:textId="77777777" w:rsidR="005641F0" w:rsidRPr="001B3DFC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  <w:r w:rsidRPr="001B3DFC">
              <w:rPr>
                <w:rFonts w:ascii="Verdana" w:hAnsi="Verdana"/>
                <w:sz w:val="20"/>
                <w:szCs w:val="20"/>
              </w:rPr>
              <w:t xml:space="preserve">Medicare –F, </w:t>
            </w:r>
            <w:r>
              <w:rPr>
                <w:rFonts w:ascii="Verdana" w:hAnsi="Verdana"/>
                <w:sz w:val="20"/>
                <w:szCs w:val="20"/>
              </w:rPr>
              <w:t xml:space="preserve">PPO – F, </w:t>
            </w:r>
            <w:r w:rsidRPr="001B3DFC">
              <w:rPr>
                <w:rFonts w:ascii="Verdana" w:hAnsi="Verdana"/>
                <w:sz w:val="20"/>
                <w:szCs w:val="20"/>
              </w:rPr>
              <w:t xml:space="preserve">Medicaid – </w:t>
            </w:r>
            <w:r>
              <w:rPr>
                <w:rFonts w:ascii="Verdana" w:hAnsi="Verdana"/>
                <w:sz w:val="20"/>
                <w:szCs w:val="20"/>
              </w:rPr>
              <w:t>NP</w:t>
            </w:r>
            <w:r w:rsidRPr="001B3DFC">
              <w:rPr>
                <w:rFonts w:ascii="Verdana" w:hAnsi="Verdana"/>
                <w:sz w:val="20"/>
                <w:szCs w:val="20"/>
              </w:rPr>
              <w:t xml:space="preserve">, HIX – </w:t>
            </w:r>
            <w:r>
              <w:rPr>
                <w:rFonts w:ascii="Verdana" w:hAnsi="Verdana"/>
                <w:sz w:val="20"/>
                <w:szCs w:val="20"/>
              </w:rPr>
              <w:t>N</w:t>
            </w:r>
            <w:r w:rsidRPr="001B3DFC">
              <w:rPr>
                <w:rFonts w:ascii="Verdana" w:hAnsi="Verdana"/>
                <w:sz w:val="20"/>
                <w:szCs w:val="20"/>
              </w:rPr>
              <w:t>F</w:t>
            </w:r>
          </w:p>
          <w:p w14:paraId="2FC01962" w14:textId="0F11B9BE" w:rsidR="005641F0" w:rsidRPr="00852F8C" w:rsidRDefault="005641F0" w:rsidP="005641F0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4257" w:type="dxa"/>
            <w:shd w:val="clear" w:color="auto" w:fill="auto"/>
          </w:tcPr>
          <w:p w14:paraId="1A223DD5" w14:textId="77777777" w:rsidR="005641F0" w:rsidRPr="001B3DFC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  <w:r w:rsidRPr="001B3DFC">
              <w:rPr>
                <w:rFonts w:ascii="Verdana" w:hAnsi="Verdana"/>
                <w:sz w:val="20"/>
                <w:szCs w:val="20"/>
              </w:rPr>
              <w:t xml:space="preserve">Medicare –F, </w:t>
            </w:r>
            <w:r>
              <w:rPr>
                <w:rFonts w:ascii="Verdana" w:hAnsi="Verdana"/>
                <w:sz w:val="20"/>
                <w:szCs w:val="20"/>
              </w:rPr>
              <w:t xml:space="preserve">PPO – F, </w:t>
            </w:r>
            <w:r w:rsidRPr="001B3DFC">
              <w:rPr>
                <w:rFonts w:ascii="Verdana" w:hAnsi="Verdana"/>
                <w:sz w:val="20"/>
                <w:szCs w:val="20"/>
              </w:rPr>
              <w:t xml:space="preserve">Medicaid – </w:t>
            </w:r>
            <w:r>
              <w:rPr>
                <w:rFonts w:ascii="Verdana" w:hAnsi="Verdana"/>
                <w:sz w:val="20"/>
                <w:szCs w:val="20"/>
              </w:rPr>
              <w:t>NP</w:t>
            </w:r>
            <w:r w:rsidRPr="001B3DFC">
              <w:rPr>
                <w:rFonts w:ascii="Verdana" w:hAnsi="Verdana"/>
                <w:sz w:val="20"/>
                <w:szCs w:val="20"/>
              </w:rPr>
              <w:t xml:space="preserve">, HIX – </w:t>
            </w:r>
            <w:r>
              <w:rPr>
                <w:rFonts w:ascii="Verdana" w:hAnsi="Verdana"/>
                <w:sz w:val="20"/>
                <w:szCs w:val="20"/>
              </w:rPr>
              <w:t>N</w:t>
            </w:r>
            <w:r w:rsidRPr="001B3DFC">
              <w:rPr>
                <w:rFonts w:ascii="Verdana" w:hAnsi="Verdana"/>
                <w:sz w:val="20"/>
                <w:szCs w:val="20"/>
              </w:rPr>
              <w:t>F</w:t>
            </w:r>
          </w:p>
          <w:p w14:paraId="779A8F60" w14:textId="06EB5F60" w:rsidR="005641F0" w:rsidRPr="00852F8C" w:rsidRDefault="005641F0" w:rsidP="005641F0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5641F0" w:rsidRPr="00852F8C" w14:paraId="72856C60" w14:textId="77777777" w:rsidTr="00296E12">
        <w:tc>
          <w:tcPr>
            <w:tcW w:w="2430" w:type="dxa"/>
            <w:shd w:val="clear" w:color="auto" w:fill="auto"/>
          </w:tcPr>
          <w:p w14:paraId="38BEAD85" w14:textId="194B9ABC" w:rsidR="005641F0" w:rsidRPr="006E7EE6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DB5BC0">
              <w:rPr>
                <w:rFonts w:ascii="Verdana" w:hAnsi="Verdana"/>
                <w:sz w:val="20"/>
                <w:szCs w:val="20"/>
              </w:rPr>
              <w:t>Welireg</w:t>
            </w:r>
            <w:proofErr w:type="spellEnd"/>
            <w:r w:rsidRPr="00DB5BC0">
              <w:rPr>
                <w:rFonts w:ascii="Verdana" w:hAnsi="Verdana"/>
                <w:sz w:val="20"/>
                <w:szCs w:val="20"/>
              </w:rPr>
              <w:t xml:space="preserve"> (</w:t>
            </w:r>
            <w:proofErr w:type="spellStart"/>
            <w:r w:rsidRPr="00DB5BC0">
              <w:rPr>
                <w:rFonts w:ascii="Verdana" w:hAnsi="Verdana"/>
                <w:sz w:val="20"/>
                <w:szCs w:val="20"/>
              </w:rPr>
              <w:t>belzutifan</w:t>
            </w:r>
            <w:proofErr w:type="spellEnd"/>
            <w:r w:rsidRPr="00DB5BC0">
              <w:rPr>
                <w:rFonts w:ascii="Verdana" w:hAnsi="Verdana"/>
                <w:sz w:val="20"/>
                <w:szCs w:val="20"/>
              </w:rPr>
              <w:t xml:space="preserve">) 40 mg tablets for advanced renal cell carcinoma (RCC) </w:t>
            </w:r>
          </w:p>
        </w:tc>
        <w:tc>
          <w:tcPr>
            <w:tcW w:w="4230" w:type="dxa"/>
            <w:shd w:val="clear" w:color="auto" w:fill="auto"/>
          </w:tcPr>
          <w:p w14:paraId="2EAAD079" w14:textId="77777777" w:rsidR="005641F0" w:rsidRPr="001B3DFC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  <w:r w:rsidRPr="001B3DFC">
              <w:rPr>
                <w:rFonts w:ascii="Verdana" w:hAnsi="Verdana"/>
                <w:sz w:val="20"/>
                <w:szCs w:val="20"/>
              </w:rPr>
              <w:t xml:space="preserve">Medicare –F, </w:t>
            </w:r>
            <w:r>
              <w:rPr>
                <w:rFonts w:ascii="Verdana" w:hAnsi="Verdana"/>
                <w:sz w:val="20"/>
                <w:szCs w:val="20"/>
              </w:rPr>
              <w:t xml:space="preserve">PPO – F, </w:t>
            </w:r>
            <w:r w:rsidRPr="001B3DFC">
              <w:rPr>
                <w:rFonts w:ascii="Verdana" w:hAnsi="Verdana"/>
                <w:sz w:val="20"/>
                <w:szCs w:val="20"/>
              </w:rPr>
              <w:t xml:space="preserve">Medicaid – </w:t>
            </w:r>
            <w:r>
              <w:rPr>
                <w:rFonts w:ascii="Verdana" w:hAnsi="Verdana"/>
                <w:sz w:val="20"/>
                <w:szCs w:val="20"/>
              </w:rPr>
              <w:t>F</w:t>
            </w:r>
            <w:r w:rsidRPr="001B3DFC">
              <w:rPr>
                <w:rFonts w:ascii="Verdana" w:hAnsi="Verdana"/>
                <w:sz w:val="20"/>
                <w:szCs w:val="20"/>
              </w:rPr>
              <w:t>, HIX – F</w:t>
            </w:r>
          </w:p>
          <w:p w14:paraId="0613AA00" w14:textId="77777777" w:rsidR="005641F0" w:rsidRPr="00F16A1F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7" w:type="dxa"/>
            <w:shd w:val="clear" w:color="auto" w:fill="auto"/>
          </w:tcPr>
          <w:p w14:paraId="6A0C7F5B" w14:textId="77777777" w:rsidR="005641F0" w:rsidRPr="001B3DFC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  <w:r w:rsidRPr="001B3DFC">
              <w:rPr>
                <w:rFonts w:ascii="Verdana" w:hAnsi="Verdana"/>
                <w:sz w:val="20"/>
                <w:szCs w:val="20"/>
              </w:rPr>
              <w:t xml:space="preserve">Medicare –F, </w:t>
            </w:r>
            <w:r>
              <w:rPr>
                <w:rFonts w:ascii="Verdana" w:hAnsi="Verdana"/>
                <w:sz w:val="20"/>
                <w:szCs w:val="20"/>
              </w:rPr>
              <w:t xml:space="preserve">PPO – F, </w:t>
            </w:r>
            <w:r w:rsidRPr="001B3DFC">
              <w:rPr>
                <w:rFonts w:ascii="Verdana" w:hAnsi="Verdana"/>
                <w:sz w:val="20"/>
                <w:szCs w:val="20"/>
              </w:rPr>
              <w:t xml:space="preserve">Medicaid – </w:t>
            </w:r>
            <w:r>
              <w:rPr>
                <w:rFonts w:ascii="Verdana" w:hAnsi="Verdana"/>
                <w:sz w:val="20"/>
                <w:szCs w:val="20"/>
              </w:rPr>
              <w:t>F</w:t>
            </w:r>
            <w:r w:rsidRPr="001B3DFC">
              <w:rPr>
                <w:rFonts w:ascii="Verdana" w:hAnsi="Verdana"/>
                <w:sz w:val="20"/>
                <w:szCs w:val="20"/>
              </w:rPr>
              <w:t>, HIX – F</w:t>
            </w:r>
          </w:p>
          <w:p w14:paraId="3B6D7DF1" w14:textId="77777777" w:rsidR="005641F0" w:rsidRPr="00F16A1F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641F0" w:rsidRPr="00852F8C" w14:paraId="17CA87CD" w14:textId="77777777" w:rsidTr="00296E12">
        <w:tc>
          <w:tcPr>
            <w:tcW w:w="2430" w:type="dxa"/>
            <w:shd w:val="clear" w:color="auto" w:fill="auto"/>
          </w:tcPr>
          <w:p w14:paraId="1D98A5B1" w14:textId="77777777" w:rsidR="005641F0" w:rsidRPr="00DB5BC0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DB5BC0">
              <w:rPr>
                <w:rFonts w:ascii="Verdana" w:hAnsi="Verdana"/>
                <w:sz w:val="20"/>
                <w:szCs w:val="20"/>
              </w:rPr>
              <w:t>Nexletol</w:t>
            </w:r>
            <w:proofErr w:type="spellEnd"/>
            <w:r w:rsidRPr="00DB5BC0">
              <w:rPr>
                <w:rFonts w:ascii="Verdana" w:hAnsi="Verdana"/>
                <w:sz w:val="20"/>
                <w:szCs w:val="20"/>
              </w:rPr>
              <w:t xml:space="preserve"> (</w:t>
            </w:r>
            <w:proofErr w:type="spellStart"/>
            <w:r w:rsidRPr="00DB5BC0">
              <w:rPr>
                <w:rFonts w:ascii="Verdana" w:hAnsi="Verdana"/>
                <w:sz w:val="20"/>
                <w:szCs w:val="20"/>
              </w:rPr>
              <w:t>bempedoic</w:t>
            </w:r>
            <w:proofErr w:type="spellEnd"/>
            <w:r w:rsidRPr="00DB5BC0">
              <w:rPr>
                <w:rFonts w:ascii="Verdana" w:hAnsi="Verdana"/>
                <w:sz w:val="20"/>
                <w:szCs w:val="20"/>
              </w:rPr>
              <w:t xml:space="preserve"> acid) 180 mg tablets and </w:t>
            </w:r>
            <w:proofErr w:type="spellStart"/>
            <w:r w:rsidRPr="00DB5BC0">
              <w:rPr>
                <w:rFonts w:ascii="Verdana" w:hAnsi="Verdana"/>
                <w:sz w:val="20"/>
                <w:szCs w:val="20"/>
              </w:rPr>
              <w:t>Nexlizet</w:t>
            </w:r>
            <w:proofErr w:type="spellEnd"/>
            <w:r w:rsidRPr="00DB5BC0">
              <w:rPr>
                <w:rFonts w:ascii="Verdana" w:hAnsi="Verdana"/>
                <w:sz w:val="20"/>
                <w:szCs w:val="20"/>
              </w:rPr>
              <w:t xml:space="preserve"> (</w:t>
            </w:r>
            <w:proofErr w:type="spellStart"/>
            <w:r w:rsidRPr="00DB5BC0">
              <w:rPr>
                <w:rFonts w:ascii="Verdana" w:hAnsi="Verdana"/>
                <w:sz w:val="20"/>
                <w:szCs w:val="20"/>
              </w:rPr>
              <w:t>bempedoic</w:t>
            </w:r>
            <w:proofErr w:type="spellEnd"/>
            <w:r w:rsidRPr="00DB5BC0">
              <w:rPr>
                <w:rFonts w:ascii="Verdana" w:hAnsi="Verdana"/>
                <w:sz w:val="20"/>
                <w:szCs w:val="20"/>
              </w:rPr>
              <w:t xml:space="preserve"> acid and ezetimibe) 180 mg-10 mg tablets for primary </w:t>
            </w:r>
          </w:p>
          <w:p w14:paraId="69CC1936" w14:textId="0419272F" w:rsidR="005641F0" w:rsidRPr="00BD0C1E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  <w:r w:rsidRPr="00DB5BC0">
              <w:rPr>
                <w:rFonts w:ascii="Verdana" w:hAnsi="Verdana"/>
                <w:sz w:val="20"/>
                <w:szCs w:val="20"/>
              </w:rPr>
              <w:t>hyperlipidemia in adults with heterozygous familial hypercholesterolemia or atherosclerotic cardiovascular disease (ASCVD) as an adjunct to statin therapy</w:t>
            </w:r>
          </w:p>
        </w:tc>
        <w:tc>
          <w:tcPr>
            <w:tcW w:w="4230" w:type="dxa"/>
            <w:shd w:val="clear" w:color="auto" w:fill="auto"/>
          </w:tcPr>
          <w:p w14:paraId="7C7EB83F" w14:textId="77777777" w:rsidR="005641F0" w:rsidRPr="001B3DFC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  <w:r w:rsidRPr="001B3DFC">
              <w:rPr>
                <w:rFonts w:ascii="Verdana" w:hAnsi="Verdana"/>
                <w:sz w:val="20"/>
                <w:szCs w:val="20"/>
              </w:rPr>
              <w:t>Medicare –</w:t>
            </w:r>
            <w:r>
              <w:rPr>
                <w:rFonts w:ascii="Verdana" w:hAnsi="Verdana"/>
                <w:sz w:val="20"/>
                <w:szCs w:val="20"/>
              </w:rPr>
              <w:t>N</w:t>
            </w:r>
            <w:r w:rsidRPr="001B3DFC">
              <w:rPr>
                <w:rFonts w:ascii="Verdana" w:hAnsi="Verdana"/>
                <w:sz w:val="20"/>
                <w:szCs w:val="20"/>
              </w:rPr>
              <w:t xml:space="preserve">F, </w:t>
            </w:r>
            <w:r>
              <w:rPr>
                <w:rFonts w:ascii="Verdana" w:hAnsi="Verdana"/>
                <w:sz w:val="20"/>
                <w:szCs w:val="20"/>
              </w:rPr>
              <w:t xml:space="preserve">PPO – NF, </w:t>
            </w:r>
            <w:r w:rsidRPr="001B3DFC">
              <w:rPr>
                <w:rFonts w:ascii="Verdana" w:hAnsi="Verdana"/>
                <w:sz w:val="20"/>
                <w:szCs w:val="20"/>
              </w:rPr>
              <w:t xml:space="preserve">Medicaid – </w:t>
            </w:r>
            <w:r>
              <w:rPr>
                <w:rFonts w:ascii="Verdana" w:hAnsi="Verdana"/>
                <w:sz w:val="20"/>
                <w:szCs w:val="20"/>
              </w:rPr>
              <w:t>NP</w:t>
            </w:r>
            <w:r w:rsidRPr="001B3DFC">
              <w:rPr>
                <w:rFonts w:ascii="Verdana" w:hAnsi="Verdana"/>
                <w:sz w:val="20"/>
                <w:szCs w:val="20"/>
              </w:rPr>
              <w:t>, HIX - NF</w:t>
            </w:r>
          </w:p>
          <w:p w14:paraId="246F4233" w14:textId="77777777" w:rsidR="005641F0" w:rsidRPr="00236E5A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</w:p>
          <w:p w14:paraId="55F02075" w14:textId="77777777" w:rsidR="005641F0" w:rsidRPr="00F16A1F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7" w:type="dxa"/>
            <w:shd w:val="clear" w:color="auto" w:fill="auto"/>
          </w:tcPr>
          <w:p w14:paraId="5B4B5500" w14:textId="77777777" w:rsidR="005641F0" w:rsidRPr="001B3DFC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  <w:r w:rsidRPr="001B3DFC">
              <w:rPr>
                <w:rFonts w:ascii="Verdana" w:hAnsi="Verdana"/>
                <w:sz w:val="20"/>
                <w:szCs w:val="20"/>
              </w:rPr>
              <w:t>Medicare –</w:t>
            </w:r>
            <w:r>
              <w:rPr>
                <w:rFonts w:ascii="Verdana" w:hAnsi="Verdana"/>
                <w:sz w:val="20"/>
                <w:szCs w:val="20"/>
              </w:rPr>
              <w:t>N</w:t>
            </w:r>
            <w:r w:rsidRPr="001B3DFC">
              <w:rPr>
                <w:rFonts w:ascii="Verdana" w:hAnsi="Verdana"/>
                <w:sz w:val="20"/>
                <w:szCs w:val="20"/>
              </w:rPr>
              <w:t xml:space="preserve">F, </w:t>
            </w:r>
            <w:r>
              <w:rPr>
                <w:rFonts w:ascii="Verdana" w:hAnsi="Verdana"/>
                <w:sz w:val="20"/>
                <w:szCs w:val="20"/>
              </w:rPr>
              <w:t xml:space="preserve">PPO – NF, </w:t>
            </w:r>
            <w:r w:rsidRPr="001B3DFC">
              <w:rPr>
                <w:rFonts w:ascii="Verdana" w:hAnsi="Verdana"/>
                <w:sz w:val="20"/>
                <w:szCs w:val="20"/>
              </w:rPr>
              <w:t xml:space="preserve">Medicaid – </w:t>
            </w:r>
            <w:r>
              <w:rPr>
                <w:rFonts w:ascii="Verdana" w:hAnsi="Verdana"/>
                <w:sz w:val="20"/>
                <w:szCs w:val="20"/>
              </w:rPr>
              <w:t>NP</w:t>
            </w:r>
            <w:r w:rsidRPr="001B3DFC">
              <w:rPr>
                <w:rFonts w:ascii="Verdana" w:hAnsi="Verdana"/>
                <w:sz w:val="20"/>
                <w:szCs w:val="20"/>
              </w:rPr>
              <w:t>, HIX - NF</w:t>
            </w:r>
          </w:p>
          <w:p w14:paraId="7819FB4C" w14:textId="77777777" w:rsidR="005641F0" w:rsidRPr="00F16A1F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641F0" w:rsidRPr="00852F8C" w14:paraId="7FD52854" w14:textId="77777777" w:rsidTr="00296E12">
        <w:tc>
          <w:tcPr>
            <w:tcW w:w="2430" w:type="dxa"/>
            <w:shd w:val="clear" w:color="auto" w:fill="auto"/>
          </w:tcPr>
          <w:p w14:paraId="71BB1DA5" w14:textId="5400EC2C" w:rsidR="005641F0" w:rsidRPr="00BD0C1E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  <w:r w:rsidRPr="00DB5BC0">
              <w:rPr>
                <w:rFonts w:ascii="Verdana" w:hAnsi="Verdana"/>
                <w:sz w:val="20"/>
                <w:szCs w:val="20"/>
              </w:rPr>
              <w:t xml:space="preserve">Xtandi (enzalutamide) 40 mg capsules and 40 &amp; 80 mg tablets for non-metastatic castration-sensitive prostate cancer </w:t>
            </w:r>
          </w:p>
        </w:tc>
        <w:tc>
          <w:tcPr>
            <w:tcW w:w="4230" w:type="dxa"/>
            <w:shd w:val="clear" w:color="auto" w:fill="auto"/>
          </w:tcPr>
          <w:p w14:paraId="7408BCDC" w14:textId="77777777" w:rsidR="005641F0" w:rsidRPr="001B3DFC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  <w:r w:rsidRPr="001B3DFC">
              <w:rPr>
                <w:rFonts w:ascii="Verdana" w:hAnsi="Verdana"/>
                <w:sz w:val="20"/>
                <w:szCs w:val="20"/>
              </w:rPr>
              <w:t xml:space="preserve">Medicare –F, </w:t>
            </w:r>
            <w:r>
              <w:rPr>
                <w:rFonts w:ascii="Verdana" w:hAnsi="Verdana"/>
                <w:sz w:val="20"/>
                <w:szCs w:val="20"/>
              </w:rPr>
              <w:t xml:space="preserve">PPO – F, </w:t>
            </w:r>
            <w:r w:rsidRPr="001B3DFC">
              <w:rPr>
                <w:rFonts w:ascii="Verdana" w:hAnsi="Verdana"/>
                <w:sz w:val="20"/>
                <w:szCs w:val="20"/>
              </w:rPr>
              <w:t xml:space="preserve">Medicaid – </w:t>
            </w:r>
            <w:r>
              <w:rPr>
                <w:rFonts w:ascii="Verdana" w:hAnsi="Verdana"/>
                <w:sz w:val="20"/>
                <w:szCs w:val="20"/>
              </w:rPr>
              <w:t>F</w:t>
            </w:r>
            <w:r w:rsidRPr="001B3DFC">
              <w:rPr>
                <w:rFonts w:ascii="Verdana" w:hAnsi="Verdana"/>
                <w:sz w:val="20"/>
                <w:szCs w:val="20"/>
              </w:rPr>
              <w:t>, HIX - F</w:t>
            </w:r>
          </w:p>
          <w:p w14:paraId="0E42384A" w14:textId="77777777" w:rsidR="005641F0" w:rsidRPr="00C644BC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</w:p>
          <w:p w14:paraId="326D34FC" w14:textId="77777777" w:rsidR="005641F0" w:rsidRPr="00F16A1F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7" w:type="dxa"/>
            <w:shd w:val="clear" w:color="auto" w:fill="auto"/>
          </w:tcPr>
          <w:p w14:paraId="1D7625CF" w14:textId="77777777" w:rsidR="005641F0" w:rsidRPr="001B3DFC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  <w:r w:rsidRPr="001B3DFC">
              <w:rPr>
                <w:rFonts w:ascii="Verdana" w:hAnsi="Verdana"/>
                <w:sz w:val="20"/>
                <w:szCs w:val="20"/>
              </w:rPr>
              <w:t xml:space="preserve">Medicare –F, </w:t>
            </w:r>
            <w:r>
              <w:rPr>
                <w:rFonts w:ascii="Verdana" w:hAnsi="Verdana"/>
                <w:sz w:val="20"/>
                <w:szCs w:val="20"/>
              </w:rPr>
              <w:t xml:space="preserve">PPO – F, </w:t>
            </w:r>
            <w:r w:rsidRPr="001B3DFC">
              <w:rPr>
                <w:rFonts w:ascii="Verdana" w:hAnsi="Verdana"/>
                <w:sz w:val="20"/>
                <w:szCs w:val="20"/>
              </w:rPr>
              <w:t xml:space="preserve">Medicaid – </w:t>
            </w:r>
            <w:r>
              <w:rPr>
                <w:rFonts w:ascii="Verdana" w:hAnsi="Verdana"/>
                <w:sz w:val="20"/>
                <w:szCs w:val="20"/>
              </w:rPr>
              <w:t>F</w:t>
            </w:r>
            <w:r w:rsidRPr="001B3DFC">
              <w:rPr>
                <w:rFonts w:ascii="Verdana" w:hAnsi="Verdana"/>
                <w:sz w:val="20"/>
                <w:szCs w:val="20"/>
              </w:rPr>
              <w:t>, HIX - F</w:t>
            </w:r>
          </w:p>
          <w:p w14:paraId="22966CB5" w14:textId="77777777" w:rsidR="005641F0" w:rsidRPr="00F16A1F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641F0" w:rsidRPr="00852F8C" w14:paraId="4C1157FE" w14:textId="77777777" w:rsidTr="00296E12">
        <w:tc>
          <w:tcPr>
            <w:tcW w:w="2430" w:type="dxa"/>
            <w:shd w:val="clear" w:color="auto" w:fill="auto"/>
          </w:tcPr>
          <w:p w14:paraId="2987B41C" w14:textId="4271335E" w:rsidR="005641F0" w:rsidRPr="00BD0C1E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DB5BC0">
              <w:rPr>
                <w:rFonts w:ascii="Verdana" w:hAnsi="Verdana"/>
                <w:sz w:val="20"/>
                <w:szCs w:val="20"/>
              </w:rPr>
              <w:t>Hyqvia</w:t>
            </w:r>
            <w:proofErr w:type="spellEnd"/>
            <w:r w:rsidRPr="00DB5BC0">
              <w:rPr>
                <w:rFonts w:ascii="Verdana" w:hAnsi="Verdana"/>
                <w:sz w:val="20"/>
                <w:szCs w:val="20"/>
              </w:rPr>
              <w:t xml:space="preserve"> (human immune globulin) 100 mg/mL subcutaneous kits for maintenance therapy in adults with chronic inflammatory </w:t>
            </w:r>
            <w:r w:rsidRPr="00DB5BC0">
              <w:rPr>
                <w:rFonts w:ascii="Verdana" w:hAnsi="Verdana"/>
                <w:sz w:val="20"/>
                <w:szCs w:val="20"/>
              </w:rPr>
              <w:lastRenderedPageBreak/>
              <w:t>demyelinating polyneuropathy</w:t>
            </w:r>
          </w:p>
        </w:tc>
        <w:tc>
          <w:tcPr>
            <w:tcW w:w="4230" w:type="dxa"/>
            <w:shd w:val="clear" w:color="auto" w:fill="auto"/>
          </w:tcPr>
          <w:p w14:paraId="58952F25" w14:textId="77777777" w:rsidR="005641F0" w:rsidRPr="001B3DFC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  <w:r w:rsidRPr="001B3DFC">
              <w:rPr>
                <w:rFonts w:ascii="Verdana" w:hAnsi="Verdana"/>
                <w:sz w:val="20"/>
                <w:szCs w:val="20"/>
              </w:rPr>
              <w:lastRenderedPageBreak/>
              <w:t xml:space="preserve">Medicare –F, </w:t>
            </w:r>
            <w:r>
              <w:rPr>
                <w:rFonts w:ascii="Verdana" w:hAnsi="Verdana"/>
                <w:sz w:val="20"/>
                <w:szCs w:val="20"/>
              </w:rPr>
              <w:t xml:space="preserve">PPO – F, </w:t>
            </w:r>
            <w:r w:rsidRPr="001B3DFC">
              <w:rPr>
                <w:rFonts w:ascii="Verdana" w:hAnsi="Verdana"/>
                <w:sz w:val="20"/>
                <w:szCs w:val="20"/>
              </w:rPr>
              <w:t xml:space="preserve">Medicaid – </w:t>
            </w:r>
            <w:r>
              <w:rPr>
                <w:rFonts w:ascii="Verdana" w:hAnsi="Verdana"/>
                <w:sz w:val="20"/>
                <w:szCs w:val="20"/>
              </w:rPr>
              <w:t>NF</w:t>
            </w:r>
            <w:r w:rsidRPr="001B3DFC">
              <w:rPr>
                <w:rFonts w:ascii="Verdana" w:hAnsi="Verdana"/>
                <w:sz w:val="20"/>
                <w:szCs w:val="20"/>
              </w:rPr>
              <w:t>, HIX - F</w:t>
            </w:r>
          </w:p>
          <w:p w14:paraId="56156AB1" w14:textId="334A091B" w:rsidR="005641F0" w:rsidRPr="00F16A1F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7" w:type="dxa"/>
            <w:shd w:val="clear" w:color="auto" w:fill="auto"/>
          </w:tcPr>
          <w:p w14:paraId="6E3E7A14" w14:textId="77777777" w:rsidR="005641F0" w:rsidRPr="001B3DFC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  <w:r w:rsidRPr="001B3DFC">
              <w:rPr>
                <w:rFonts w:ascii="Verdana" w:hAnsi="Verdana"/>
                <w:sz w:val="20"/>
                <w:szCs w:val="20"/>
              </w:rPr>
              <w:t xml:space="preserve">Medicare –F, </w:t>
            </w:r>
            <w:r>
              <w:rPr>
                <w:rFonts w:ascii="Verdana" w:hAnsi="Verdana"/>
                <w:sz w:val="20"/>
                <w:szCs w:val="20"/>
              </w:rPr>
              <w:t xml:space="preserve">PPO – F, </w:t>
            </w:r>
            <w:r w:rsidRPr="001B3DFC">
              <w:rPr>
                <w:rFonts w:ascii="Verdana" w:hAnsi="Verdana"/>
                <w:sz w:val="20"/>
                <w:szCs w:val="20"/>
              </w:rPr>
              <w:t xml:space="preserve">Medicaid – </w:t>
            </w:r>
            <w:r>
              <w:rPr>
                <w:rFonts w:ascii="Verdana" w:hAnsi="Verdana"/>
                <w:sz w:val="20"/>
                <w:szCs w:val="20"/>
              </w:rPr>
              <w:t>NF</w:t>
            </w:r>
            <w:r w:rsidRPr="001B3DFC">
              <w:rPr>
                <w:rFonts w:ascii="Verdana" w:hAnsi="Verdana"/>
                <w:sz w:val="20"/>
                <w:szCs w:val="20"/>
              </w:rPr>
              <w:t>, HIX - F</w:t>
            </w:r>
          </w:p>
          <w:p w14:paraId="0EAADDF2" w14:textId="77777777" w:rsidR="005641F0" w:rsidRPr="00F16A1F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641F0" w:rsidRPr="00852F8C" w14:paraId="70615F2C" w14:textId="77777777" w:rsidTr="00296E12">
        <w:tc>
          <w:tcPr>
            <w:tcW w:w="2430" w:type="dxa"/>
            <w:shd w:val="clear" w:color="auto" w:fill="auto"/>
          </w:tcPr>
          <w:p w14:paraId="669EB86F" w14:textId="3F4DEA74" w:rsidR="005641F0" w:rsidRPr="00852F8C" w:rsidRDefault="005641F0" w:rsidP="005641F0">
            <w:pPr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DB5BC0">
              <w:rPr>
                <w:rFonts w:ascii="Verdana" w:hAnsi="Verdana"/>
                <w:sz w:val="20"/>
                <w:szCs w:val="20"/>
              </w:rPr>
              <w:t>Piqray</w:t>
            </w:r>
            <w:proofErr w:type="spellEnd"/>
            <w:r w:rsidRPr="00DB5BC0">
              <w:rPr>
                <w:rFonts w:ascii="Verdana" w:hAnsi="Verdana"/>
                <w:sz w:val="20"/>
                <w:szCs w:val="20"/>
              </w:rPr>
              <w:t xml:space="preserve"> (</w:t>
            </w:r>
            <w:proofErr w:type="spellStart"/>
            <w:r w:rsidRPr="00DB5BC0">
              <w:rPr>
                <w:rFonts w:ascii="Verdana" w:hAnsi="Verdana"/>
                <w:sz w:val="20"/>
                <w:szCs w:val="20"/>
              </w:rPr>
              <w:t>alpelisib</w:t>
            </w:r>
            <w:proofErr w:type="spellEnd"/>
            <w:r w:rsidRPr="00DB5BC0">
              <w:rPr>
                <w:rFonts w:ascii="Verdana" w:hAnsi="Verdana"/>
                <w:sz w:val="20"/>
                <w:szCs w:val="20"/>
              </w:rPr>
              <w:t>) 50, 150, &amp; 200 mg tablets expanded approval for pre- and peri-menopausal women</w:t>
            </w:r>
          </w:p>
        </w:tc>
        <w:tc>
          <w:tcPr>
            <w:tcW w:w="4230" w:type="dxa"/>
            <w:shd w:val="clear" w:color="auto" w:fill="auto"/>
          </w:tcPr>
          <w:p w14:paraId="6DDE30B9" w14:textId="77777777" w:rsidR="005641F0" w:rsidRPr="001B3DFC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  <w:r w:rsidRPr="001B3DFC">
              <w:rPr>
                <w:rFonts w:ascii="Verdana" w:hAnsi="Verdana"/>
                <w:sz w:val="20"/>
                <w:szCs w:val="20"/>
              </w:rPr>
              <w:t xml:space="preserve">Medicare –F, </w:t>
            </w:r>
            <w:r>
              <w:rPr>
                <w:rFonts w:ascii="Verdana" w:hAnsi="Verdana"/>
                <w:sz w:val="20"/>
                <w:szCs w:val="20"/>
              </w:rPr>
              <w:t xml:space="preserve">PPO – F, </w:t>
            </w:r>
            <w:r w:rsidRPr="001B3DFC">
              <w:rPr>
                <w:rFonts w:ascii="Verdana" w:hAnsi="Verdana"/>
                <w:sz w:val="20"/>
                <w:szCs w:val="20"/>
              </w:rPr>
              <w:t xml:space="preserve">Medicaid – </w:t>
            </w:r>
            <w:r>
              <w:rPr>
                <w:rFonts w:ascii="Verdana" w:hAnsi="Verdana"/>
                <w:sz w:val="20"/>
                <w:szCs w:val="20"/>
              </w:rPr>
              <w:t>F</w:t>
            </w:r>
            <w:r w:rsidRPr="001B3DFC">
              <w:rPr>
                <w:rFonts w:ascii="Verdana" w:hAnsi="Verdana"/>
                <w:sz w:val="20"/>
                <w:szCs w:val="20"/>
              </w:rPr>
              <w:t>, HIX - F</w:t>
            </w:r>
          </w:p>
          <w:p w14:paraId="72167175" w14:textId="77777777" w:rsidR="005641F0" w:rsidRPr="00F16A1F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7" w:type="dxa"/>
            <w:shd w:val="clear" w:color="auto" w:fill="auto"/>
          </w:tcPr>
          <w:p w14:paraId="000012EF" w14:textId="77777777" w:rsidR="005641F0" w:rsidRPr="001B3DFC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  <w:r w:rsidRPr="001B3DFC">
              <w:rPr>
                <w:rFonts w:ascii="Verdana" w:hAnsi="Verdana"/>
                <w:sz w:val="20"/>
                <w:szCs w:val="20"/>
              </w:rPr>
              <w:t xml:space="preserve">Medicare –F, </w:t>
            </w:r>
            <w:r>
              <w:rPr>
                <w:rFonts w:ascii="Verdana" w:hAnsi="Verdana"/>
                <w:sz w:val="20"/>
                <w:szCs w:val="20"/>
              </w:rPr>
              <w:t xml:space="preserve">PPO – F, </w:t>
            </w:r>
            <w:r w:rsidRPr="001B3DFC">
              <w:rPr>
                <w:rFonts w:ascii="Verdana" w:hAnsi="Verdana"/>
                <w:sz w:val="20"/>
                <w:szCs w:val="20"/>
              </w:rPr>
              <w:t xml:space="preserve">Medicaid – </w:t>
            </w:r>
            <w:r>
              <w:rPr>
                <w:rFonts w:ascii="Verdana" w:hAnsi="Verdana"/>
                <w:sz w:val="20"/>
                <w:szCs w:val="20"/>
              </w:rPr>
              <w:t>F</w:t>
            </w:r>
            <w:r w:rsidRPr="001B3DFC">
              <w:rPr>
                <w:rFonts w:ascii="Verdana" w:hAnsi="Verdana"/>
                <w:sz w:val="20"/>
                <w:szCs w:val="20"/>
              </w:rPr>
              <w:t>, HIX - F</w:t>
            </w:r>
          </w:p>
          <w:p w14:paraId="620B8E5D" w14:textId="77777777" w:rsidR="005641F0" w:rsidRPr="00F16A1F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641F0" w:rsidRPr="00852F8C" w14:paraId="0A6CE6FB" w14:textId="77777777" w:rsidTr="00296E12">
        <w:tc>
          <w:tcPr>
            <w:tcW w:w="2430" w:type="dxa"/>
            <w:shd w:val="clear" w:color="auto" w:fill="auto"/>
          </w:tcPr>
          <w:p w14:paraId="0648D180" w14:textId="2B2827BA" w:rsidR="005641F0" w:rsidRPr="00852F8C" w:rsidRDefault="005641F0" w:rsidP="005641F0">
            <w:pPr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DB5BC0">
              <w:rPr>
                <w:rFonts w:ascii="Verdana" w:hAnsi="Verdana"/>
                <w:sz w:val="20"/>
                <w:szCs w:val="20"/>
              </w:rPr>
              <w:t>Balversa</w:t>
            </w:r>
            <w:proofErr w:type="spellEnd"/>
            <w:r w:rsidRPr="00DB5BC0">
              <w:rPr>
                <w:rFonts w:ascii="Verdana" w:hAnsi="Verdana"/>
                <w:sz w:val="20"/>
                <w:szCs w:val="20"/>
              </w:rPr>
              <w:t xml:space="preserve"> (erdafitinib) 3,4, &amp; 5 mg tablets for adults with locally advanced/metastatic urothelial carcinoma with FGFR3 genetic alterations after platinum-containing chemotherapy </w:t>
            </w:r>
          </w:p>
        </w:tc>
        <w:tc>
          <w:tcPr>
            <w:tcW w:w="4230" w:type="dxa"/>
            <w:shd w:val="clear" w:color="auto" w:fill="auto"/>
          </w:tcPr>
          <w:p w14:paraId="1DE319B1" w14:textId="77777777" w:rsidR="005641F0" w:rsidRPr="001B3DFC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  <w:r w:rsidRPr="001B3DFC">
              <w:rPr>
                <w:rFonts w:ascii="Verdana" w:hAnsi="Verdana"/>
                <w:sz w:val="20"/>
                <w:szCs w:val="20"/>
              </w:rPr>
              <w:t xml:space="preserve">Medicare –F, </w:t>
            </w:r>
            <w:r>
              <w:rPr>
                <w:rFonts w:ascii="Verdana" w:hAnsi="Verdana"/>
                <w:sz w:val="20"/>
                <w:szCs w:val="20"/>
              </w:rPr>
              <w:t xml:space="preserve">PPO –F, </w:t>
            </w:r>
            <w:r w:rsidRPr="001B3DFC">
              <w:rPr>
                <w:rFonts w:ascii="Verdana" w:hAnsi="Verdana"/>
                <w:sz w:val="20"/>
                <w:szCs w:val="20"/>
              </w:rPr>
              <w:t xml:space="preserve">Medicaid – </w:t>
            </w:r>
            <w:r>
              <w:rPr>
                <w:rFonts w:ascii="Verdana" w:hAnsi="Verdana"/>
                <w:sz w:val="20"/>
                <w:szCs w:val="20"/>
              </w:rPr>
              <w:t>F</w:t>
            </w:r>
            <w:r w:rsidRPr="001B3DFC">
              <w:rPr>
                <w:rFonts w:ascii="Verdana" w:hAnsi="Verdana"/>
                <w:sz w:val="20"/>
                <w:szCs w:val="20"/>
              </w:rPr>
              <w:t>, HIX - F</w:t>
            </w:r>
          </w:p>
          <w:p w14:paraId="3299D07A" w14:textId="77777777" w:rsidR="005641F0" w:rsidRPr="00F16A1F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7" w:type="dxa"/>
            <w:shd w:val="clear" w:color="auto" w:fill="auto"/>
          </w:tcPr>
          <w:p w14:paraId="2C5D5DFD" w14:textId="77777777" w:rsidR="005641F0" w:rsidRPr="001B3DFC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  <w:r w:rsidRPr="001B3DFC">
              <w:rPr>
                <w:rFonts w:ascii="Verdana" w:hAnsi="Verdana"/>
                <w:sz w:val="20"/>
                <w:szCs w:val="20"/>
              </w:rPr>
              <w:t xml:space="preserve">Medicare –F, </w:t>
            </w:r>
            <w:r>
              <w:rPr>
                <w:rFonts w:ascii="Verdana" w:hAnsi="Verdana"/>
                <w:sz w:val="20"/>
                <w:szCs w:val="20"/>
              </w:rPr>
              <w:t xml:space="preserve">PPO –F, </w:t>
            </w:r>
            <w:r w:rsidRPr="001B3DFC">
              <w:rPr>
                <w:rFonts w:ascii="Verdana" w:hAnsi="Verdana"/>
                <w:sz w:val="20"/>
                <w:szCs w:val="20"/>
              </w:rPr>
              <w:t xml:space="preserve">Medicaid – </w:t>
            </w:r>
            <w:r>
              <w:rPr>
                <w:rFonts w:ascii="Verdana" w:hAnsi="Verdana"/>
                <w:sz w:val="20"/>
                <w:szCs w:val="20"/>
              </w:rPr>
              <w:t>F</w:t>
            </w:r>
            <w:r w:rsidRPr="001B3DFC">
              <w:rPr>
                <w:rFonts w:ascii="Verdana" w:hAnsi="Verdana"/>
                <w:sz w:val="20"/>
                <w:szCs w:val="20"/>
              </w:rPr>
              <w:t>, HIX - F</w:t>
            </w:r>
          </w:p>
          <w:p w14:paraId="51DF9BE8" w14:textId="77777777" w:rsidR="005641F0" w:rsidRPr="00F16A1F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641F0" w:rsidRPr="00852F8C" w14:paraId="3BD01804" w14:textId="77777777" w:rsidTr="00296E12">
        <w:tc>
          <w:tcPr>
            <w:tcW w:w="2430" w:type="dxa"/>
            <w:shd w:val="clear" w:color="auto" w:fill="auto"/>
          </w:tcPr>
          <w:p w14:paraId="728461BF" w14:textId="3E88DE44" w:rsidR="005641F0" w:rsidRPr="00852F8C" w:rsidRDefault="005641F0" w:rsidP="005641F0">
            <w:pPr>
              <w:rPr>
                <w:rFonts w:ascii="Verdana" w:hAnsi="Verdana" w:cs="Arial"/>
                <w:sz w:val="20"/>
                <w:szCs w:val="20"/>
              </w:rPr>
            </w:pPr>
            <w:r w:rsidRPr="00DB5BC0">
              <w:rPr>
                <w:rFonts w:ascii="Verdana" w:hAnsi="Verdana"/>
                <w:sz w:val="20"/>
                <w:szCs w:val="20"/>
              </w:rPr>
              <w:t xml:space="preserve">Dupixent (dupilumab) 200 mg/1.14 mL and 300 mg/2 mL injections for eosinophilic esophagitis in patients ≥ 1 year age expansion </w:t>
            </w:r>
          </w:p>
        </w:tc>
        <w:tc>
          <w:tcPr>
            <w:tcW w:w="4230" w:type="dxa"/>
            <w:shd w:val="clear" w:color="auto" w:fill="auto"/>
          </w:tcPr>
          <w:p w14:paraId="14EB8D80" w14:textId="77777777" w:rsidR="005641F0" w:rsidRPr="001B3DFC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  <w:r w:rsidRPr="001B3DFC">
              <w:rPr>
                <w:rFonts w:ascii="Verdana" w:hAnsi="Verdana"/>
                <w:sz w:val="20"/>
                <w:szCs w:val="20"/>
              </w:rPr>
              <w:t xml:space="preserve">Medicare –F, </w:t>
            </w:r>
            <w:r>
              <w:rPr>
                <w:rFonts w:ascii="Verdana" w:hAnsi="Verdana"/>
                <w:sz w:val="20"/>
                <w:szCs w:val="20"/>
              </w:rPr>
              <w:t xml:space="preserve">PPO – F, </w:t>
            </w:r>
            <w:r w:rsidRPr="001B3DFC">
              <w:rPr>
                <w:rFonts w:ascii="Verdana" w:hAnsi="Verdana"/>
                <w:sz w:val="20"/>
                <w:szCs w:val="20"/>
              </w:rPr>
              <w:t xml:space="preserve">Medicaid – </w:t>
            </w:r>
            <w:r>
              <w:rPr>
                <w:rFonts w:ascii="Verdana" w:hAnsi="Verdana"/>
                <w:sz w:val="20"/>
                <w:szCs w:val="20"/>
              </w:rPr>
              <w:t>F</w:t>
            </w:r>
            <w:r w:rsidRPr="001B3DFC">
              <w:rPr>
                <w:rFonts w:ascii="Verdana" w:hAnsi="Verdana"/>
                <w:sz w:val="20"/>
                <w:szCs w:val="20"/>
              </w:rPr>
              <w:t>, HIX - F</w:t>
            </w:r>
          </w:p>
          <w:p w14:paraId="5BA6D073" w14:textId="77777777" w:rsidR="005641F0" w:rsidRPr="00F16A1F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7" w:type="dxa"/>
            <w:shd w:val="clear" w:color="auto" w:fill="auto"/>
          </w:tcPr>
          <w:p w14:paraId="2BA03221" w14:textId="77777777" w:rsidR="005641F0" w:rsidRPr="001B3DFC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  <w:r w:rsidRPr="001B3DFC">
              <w:rPr>
                <w:rFonts w:ascii="Verdana" w:hAnsi="Verdana"/>
                <w:sz w:val="20"/>
                <w:szCs w:val="20"/>
              </w:rPr>
              <w:t xml:space="preserve">Medicare –F, </w:t>
            </w:r>
            <w:r>
              <w:rPr>
                <w:rFonts w:ascii="Verdana" w:hAnsi="Verdana"/>
                <w:sz w:val="20"/>
                <w:szCs w:val="20"/>
              </w:rPr>
              <w:t xml:space="preserve">PPO – F, </w:t>
            </w:r>
            <w:r w:rsidRPr="001B3DFC">
              <w:rPr>
                <w:rFonts w:ascii="Verdana" w:hAnsi="Verdana"/>
                <w:sz w:val="20"/>
                <w:szCs w:val="20"/>
              </w:rPr>
              <w:t xml:space="preserve">Medicaid – </w:t>
            </w:r>
            <w:r>
              <w:rPr>
                <w:rFonts w:ascii="Verdana" w:hAnsi="Verdana"/>
                <w:sz w:val="20"/>
                <w:szCs w:val="20"/>
              </w:rPr>
              <w:t>F</w:t>
            </w:r>
            <w:r w:rsidRPr="001B3DFC">
              <w:rPr>
                <w:rFonts w:ascii="Verdana" w:hAnsi="Verdana"/>
                <w:sz w:val="20"/>
                <w:szCs w:val="20"/>
              </w:rPr>
              <w:t>, HIX - F</w:t>
            </w:r>
          </w:p>
          <w:p w14:paraId="2997B38E" w14:textId="77777777" w:rsidR="005641F0" w:rsidRPr="00F16A1F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671F897" w14:textId="3AD8DE7D" w:rsidR="007D1D6A" w:rsidRPr="00852F8C" w:rsidRDefault="007D1D6A" w:rsidP="003628BE">
      <w:pPr>
        <w:rPr>
          <w:rFonts w:ascii="Verdana" w:eastAsia="Times New Roman" w:hAnsi="Verdana" w:cs="Arial"/>
          <w:sz w:val="20"/>
          <w:szCs w:val="20"/>
        </w:rPr>
      </w:pPr>
    </w:p>
    <w:tbl>
      <w:tblPr>
        <w:tblStyle w:val="LightList-Accent5"/>
        <w:tblW w:w="10885" w:type="dxa"/>
        <w:tblInd w:w="-95" w:type="dxa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ayout w:type="fixed"/>
        <w:tblLook w:val="04A0" w:firstRow="1" w:lastRow="0" w:firstColumn="1" w:lastColumn="0" w:noHBand="0" w:noVBand="1"/>
      </w:tblPr>
      <w:tblGrid>
        <w:gridCol w:w="10885"/>
      </w:tblGrid>
      <w:tr w:rsidR="004971A5" w:rsidRPr="00852F8C" w14:paraId="26EAAAF1" w14:textId="77777777" w:rsidTr="001C6E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5" w:type="dxa"/>
            <w:shd w:val="clear" w:color="auto" w:fill="00205B"/>
          </w:tcPr>
          <w:p w14:paraId="34B53623" w14:textId="79C97540" w:rsidR="004971A5" w:rsidRPr="00852F8C" w:rsidRDefault="004971A5" w:rsidP="001C6EB3">
            <w:pPr>
              <w:spacing w:after="240"/>
              <w:rPr>
                <w:rFonts w:ascii="Verdana" w:eastAsia="Times New Roman" w:hAnsi="Verdana" w:cs="Arial"/>
                <w:sz w:val="20"/>
                <w:szCs w:val="20"/>
              </w:rPr>
            </w:pPr>
            <w:r w:rsidRPr="00852F8C">
              <w:rPr>
                <w:rFonts w:ascii="Verdana" w:eastAsia="Times New Roman" w:hAnsi="Verdana" w:cs="Arial"/>
                <w:sz w:val="20"/>
                <w:szCs w:val="20"/>
              </w:rPr>
              <w:t xml:space="preserve">New Generics Review </w:t>
            </w:r>
          </w:p>
        </w:tc>
      </w:tr>
    </w:tbl>
    <w:tbl>
      <w:tblPr>
        <w:tblStyle w:val="TableGrid"/>
        <w:tblW w:w="10917" w:type="dxa"/>
        <w:tblInd w:w="-95" w:type="dxa"/>
        <w:tblLook w:val="04A0" w:firstRow="1" w:lastRow="0" w:firstColumn="1" w:lastColumn="0" w:noHBand="0" w:noVBand="1"/>
      </w:tblPr>
      <w:tblGrid>
        <w:gridCol w:w="2520"/>
        <w:gridCol w:w="4262"/>
        <w:gridCol w:w="4135"/>
      </w:tblGrid>
      <w:tr w:rsidR="004971A5" w:rsidRPr="00852F8C" w14:paraId="3AC4146F" w14:textId="77777777" w:rsidTr="001C6EB3">
        <w:trPr>
          <w:trHeight w:val="566"/>
        </w:trPr>
        <w:tc>
          <w:tcPr>
            <w:tcW w:w="2520" w:type="dxa"/>
          </w:tcPr>
          <w:p w14:paraId="13ACAB4E" w14:textId="77777777" w:rsidR="004971A5" w:rsidRPr="00852F8C" w:rsidRDefault="004971A5" w:rsidP="001C6EB3">
            <w:pPr>
              <w:spacing w:after="240"/>
              <w:rPr>
                <w:rFonts w:ascii="Verdana" w:eastAsia="Times New Roman" w:hAnsi="Verdana" w:cs="Arial"/>
                <w:sz w:val="20"/>
                <w:szCs w:val="20"/>
              </w:rPr>
            </w:pPr>
            <w:r w:rsidRPr="00852F8C">
              <w:rPr>
                <w:rFonts w:ascii="Verdana" w:hAnsi="Verdana"/>
                <w:b/>
                <w:bCs/>
                <w:sz w:val="20"/>
                <w:szCs w:val="20"/>
              </w:rPr>
              <w:t>Drug</w:t>
            </w:r>
          </w:p>
        </w:tc>
        <w:tc>
          <w:tcPr>
            <w:tcW w:w="4262" w:type="dxa"/>
          </w:tcPr>
          <w:p w14:paraId="62349B50" w14:textId="204B2A01" w:rsidR="004971A5" w:rsidRPr="00852F8C" w:rsidRDefault="005641F0" w:rsidP="001C6EB3">
            <w:pPr>
              <w:spacing w:after="240"/>
              <w:rPr>
                <w:rFonts w:ascii="Verdana" w:eastAsia="Times New Roman" w:hAnsi="Verdana" w:cs="Arial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Rationale/Alternative</w:t>
            </w:r>
          </w:p>
        </w:tc>
        <w:tc>
          <w:tcPr>
            <w:tcW w:w="4135" w:type="dxa"/>
          </w:tcPr>
          <w:p w14:paraId="17372CF3" w14:textId="77777777" w:rsidR="004971A5" w:rsidRPr="00852F8C" w:rsidRDefault="004971A5" w:rsidP="001C6EB3">
            <w:pPr>
              <w:spacing w:after="240"/>
              <w:rPr>
                <w:rFonts w:ascii="Verdana" w:eastAsia="Times New Roman" w:hAnsi="Verdana" w:cs="Arial"/>
                <w:sz w:val="20"/>
                <w:szCs w:val="20"/>
              </w:rPr>
            </w:pPr>
            <w:r w:rsidRPr="00852F8C">
              <w:rPr>
                <w:rFonts w:ascii="Verdana" w:hAnsi="Verdana"/>
                <w:b/>
                <w:sz w:val="20"/>
                <w:szCs w:val="20"/>
              </w:rPr>
              <w:t>Recommendation</w:t>
            </w:r>
          </w:p>
        </w:tc>
      </w:tr>
      <w:tr w:rsidR="005641F0" w:rsidRPr="00852F8C" w14:paraId="5ACE4110" w14:textId="77777777" w:rsidTr="001C6EB3">
        <w:tc>
          <w:tcPr>
            <w:tcW w:w="2520" w:type="dxa"/>
            <w:shd w:val="clear" w:color="auto" w:fill="auto"/>
          </w:tcPr>
          <w:p w14:paraId="0F50BBF8" w14:textId="2395B348" w:rsidR="005641F0" w:rsidRPr="00852F8C" w:rsidRDefault="005641F0" w:rsidP="005641F0">
            <w:pPr>
              <w:rPr>
                <w:rFonts w:ascii="Verdana" w:hAnsi="Verdana" w:cs="Arial"/>
                <w:sz w:val="20"/>
                <w:szCs w:val="20"/>
              </w:rPr>
            </w:pPr>
            <w:r w:rsidRPr="00BD737B">
              <w:rPr>
                <w:rFonts w:ascii="Verdana" w:hAnsi="Verdana"/>
                <w:sz w:val="20"/>
                <w:szCs w:val="20"/>
              </w:rPr>
              <w:t>Cyanocobalamin (</w:t>
            </w:r>
            <w:proofErr w:type="spellStart"/>
            <w:r w:rsidRPr="00BD737B">
              <w:rPr>
                <w:rFonts w:ascii="Verdana" w:hAnsi="Verdana"/>
                <w:sz w:val="20"/>
                <w:szCs w:val="20"/>
              </w:rPr>
              <w:t>Nascobal</w:t>
            </w:r>
            <w:proofErr w:type="spellEnd"/>
            <w:r w:rsidRPr="00BD737B">
              <w:rPr>
                <w:rFonts w:ascii="Verdana" w:hAnsi="Verdana"/>
                <w:sz w:val="20"/>
                <w:szCs w:val="20"/>
              </w:rPr>
              <w:t>) 500 mcg/0.1 mL nasal spray vitamin B12 therapy</w:t>
            </w:r>
          </w:p>
        </w:tc>
        <w:tc>
          <w:tcPr>
            <w:tcW w:w="4262" w:type="dxa"/>
            <w:shd w:val="clear" w:color="auto" w:fill="auto"/>
          </w:tcPr>
          <w:p w14:paraId="410B9B43" w14:textId="77777777" w:rsidR="005641F0" w:rsidRPr="00D20EE6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  <w:r w:rsidRPr="00D20EE6">
              <w:rPr>
                <w:rFonts w:ascii="Verdana" w:hAnsi="Verdana"/>
                <w:sz w:val="20"/>
                <w:szCs w:val="20"/>
              </w:rPr>
              <w:t xml:space="preserve">Brand is NF for all </w:t>
            </w:r>
            <w:proofErr w:type="gramStart"/>
            <w:r w:rsidRPr="00D20EE6">
              <w:rPr>
                <w:rFonts w:ascii="Verdana" w:hAnsi="Verdana"/>
                <w:sz w:val="20"/>
                <w:szCs w:val="20"/>
              </w:rPr>
              <w:t>LOB</w:t>
            </w:r>
            <w:proofErr w:type="gramEnd"/>
          </w:p>
          <w:p w14:paraId="2747E42C" w14:textId="75502577" w:rsidR="005641F0" w:rsidRPr="00154175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  <w:r w:rsidRPr="00D20EE6">
              <w:rPr>
                <w:rFonts w:ascii="Verdana" w:hAnsi="Verdana"/>
                <w:sz w:val="20"/>
                <w:szCs w:val="20"/>
              </w:rPr>
              <w:t>Oral options available at a much lower cost</w:t>
            </w:r>
          </w:p>
        </w:tc>
        <w:tc>
          <w:tcPr>
            <w:tcW w:w="4135" w:type="dxa"/>
            <w:shd w:val="clear" w:color="auto" w:fill="auto"/>
          </w:tcPr>
          <w:p w14:paraId="0C0945FA" w14:textId="1EBA350D" w:rsidR="005641F0" w:rsidRPr="00154175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  <w:r w:rsidRPr="00BF4C03">
              <w:rPr>
                <w:rFonts w:ascii="Verdana" w:hAnsi="Verdana"/>
                <w:sz w:val="20"/>
                <w:szCs w:val="20"/>
              </w:rPr>
              <w:t>Medicare:</w:t>
            </w:r>
            <w:r w:rsidRPr="00BF4C03">
              <w:rPr>
                <w:rFonts w:ascii="Verdana" w:hAnsi="Verdana"/>
                <w:color w:val="FF0000"/>
                <w:sz w:val="20"/>
                <w:szCs w:val="20"/>
              </w:rPr>
              <w:t xml:space="preserve"> NF</w:t>
            </w:r>
            <w:r w:rsidRPr="00BF4C03">
              <w:rPr>
                <w:rFonts w:ascii="Verdana" w:hAnsi="Verdana"/>
                <w:sz w:val="20"/>
                <w:szCs w:val="20"/>
              </w:rPr>
              <w:t xml:space="preserve">, PPO: </w:t>
            </w:r>
            <w:r w:rsidRPr="00BF4C03">
              <w:rPr>
                <w:rFonts w:ascii="Verdana" w:hAnsi="Verdana"/>
                <w:color w:val="FF0000"/>
                <w:sz w:val="20"/>
                <w:szCs w:val="20"/>
              </w:rPr>
              <w:t>NF</w:t>
            </w:r>
            <w:r w:rsidRPr="00BF4C03">
              <w:rPr>
                <w:rFonts w:ascii="Verdana" w:hAnsi="Verdana"/>
                <w:sz w:val="20"/>
                <w:szCs w:val="20"/>
              </w:rPr>
              <w:t xml:space="preserve">, Medicaid: </w:t>
            </w:r>
            <w:r w:rsidRPr="00BF4C03">
              <w:rPr>
                <w:rFonts w:ascii="Verdana" w:hAnsi="Verdana"/>
                <w:color w:val="FF0000"/>
                <w:sz w:val="20"/>
                <w:szCs w:val="20"/>
              </w:rPr>
              <w:t>NF</w:t>
            </w:r>
            <w:r w:rsidRPr="00BF4C03">
              <w:rPr>
                <w:rFonts w:ascii="Verdana" w:hAnsi="Verdana"/>
                <w:sz w:val="20"/>
                <w:szCs w:val="20"/>
              </w:rPr>
              <w:t xml:space="preserve">, HIX: </w:t>
            </w:r>
            <w:r w:rsidRPr="00BF4C03">
              <w:rPr>
                <w:rFonts w:ascii="Verdana" w:hAnsi="Verdana"/>
                <w:color w:val="FF0000"/>
                <w:sz w:val="20"/>
                <w:szCs w:val="20"/>
              </w:rPr>
              <w:t>NF</w:t>
            </w:r>
          </w:p>
        </w:tc>
      </w:tr>
      <w:tr w:rsidR="005641F0" w:rsidRPr="00852F8C" w14:paraId="153DEB7E" w14:textId="77777777" w:rsidTr="001C6EB3">
        <w:tc>
          <w:tcPr>
            <w:tcW w:w="2520" w:type="dxa"/>
            <w:shd w:val="clear" w:color="auto" w:fill="auto"/>
          </w:tcPr>
          <w:p w14:paraId="0FDA7E69" w14:textId="68920013" w:rsidR="005641F0" w:rsidRPr="00852F8C" w:rsidRDefault="005641F0" w:rsidP="005641F0">
            <w:pPr>
              <w:rPr>
                <w:rFonts w:ascii="Verdana" w:hAnsi="Verdana" w:cs="Arial"/>
                <w:sz w:val="20"/>
                <w:szCs w:val="20"/>
              </w:rPr>
            </w:pPr>
            <w:r w:rsidRPr="00BD737B">
              <w:rPr>
                <w:rFonts w:ascii="Verdana" w:hAnsi="Verdana"/>
                <w:sz w:val="20"/>
                <w:szCs w:val="20"/>
              </w:rPr>
              <w:t>Podofilox (</w:t>
            </w:r>
            <w:proofErr w:type="spellStart"/>
            <w:r w:rsidRPr="00BD737B">
              <w:rPr>
                <w:rFonts w:ascii="Verdana" w:hAnsi="Verdana"/>
                <w:sz w:val="20"/>
                <w:szCs w:val="20"/>
              </w:rPr>
              <w:t>Condylox</w:t>
            </w:r>
            <w:proofErr w:type="spellEnd"/>
            <w:r w:rsidRPr="00BD737B">
              <w:rPr>
                <w:rFonts w:ascii="Verdana" w:hAnsi="Verdana"/>
                <w:sz w:val="20"/>
                <w:szCs w:val="20"/>
              </w:rPr>
              <w:t xml:space="preserve">) 0.5% gel for anogenital warts </w:t>
            </w:r>
          </w:p>
        </w:tc>
        <w:tc>
          <w:tcPr>
            <w:tcW w:w="4262" w:type="dxa"/>
            <w:shd w:val="clear" w:color="auto" w:fill="auto"/>
          </w:tcPr>
          <w:p w14:paraId="4C302C2E" w14:textId="4419B643" w:rsidR="005641F0" w:rsidRPr="00154175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  <w:r w:rsidRPr="00D20EE6">
              <w:rPr>
                <w:rFonts w:ascii="Verdana" w:hAnsi="Verdana"/>
                <w:sz w:val="20"/>
                <w:szCs w:val="20"/>
              </w:rPr>
              <w:t>Podofilox solution is available on all formularies</w:t>
            </w:r>
          </w:p>
        </w:tc>
        <w:tc>
          <w:tcPr>
            <w:tcW w:w="4135" w:type="dxa"/>
            <w:shd w:val="clear" w:color="auto" w:fill="auto"/>
          </w:tcPr>
          <w:p w14:paraId="29720E9E" w14:textId="77777777" w:rsidR="005641F0" w:rsidRPr="00BF4C03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  <w:r w:rsidRPr="00BF4C03">
              <w:rPr>
                <w:rFonts w:ascii="Verdana" w:hAnsi="Verdana"/>
                <w:sz w:val="20"/>
                <w:szCs w:val="20"/>
              </w:rPr>
              <w:t xml:space="preserve">Medicare: </w:t>
            </w:r>
            <w:r w:rsidRPr="00BF4C03">
              <w:rPr>
                <w:rFonts w:ascii="Verdana" w:hAnsi="Verdana"/>
                <w:color w:val="FF0000"/>
                <w:sz w:val="20"/>
                <w:szCs w:val="20"/>
              </w:rPr>
              <w:t>NF</w:t>
            </w:r>
            <w:r w:rsidRPr="00BF4C03">
              <w:rPr>
                <w:rFonts w:ascii="Verdana" w:hAnsi="Verdana"/>
                <w:sz w:val="20"/>
                <w:szCs w:val="20"/>
              </w:rPr>
              <w:t xml:space="preserve">, PPO: </w:t>
            </w:r>
            <w:r w:rsidRPr="00BF4C03">
              <w:rPr>
                <w:rFonts w:ascii="Verdana" w:hAnsi="Verdana"/>
                <w:color w:val="FF0000"/>
                <w:sz w:val="20"/>
                <w:szCs w:val="20"/>
              </w:rPr>
              <w:t>NF</w:t>
            </w:r>
            <w:r w:rsidRPr="00BF4C03">
              <w:rPr>
                <w:rFonts w:ascii="Verdana" w:hAnsi="Verdana"/>
                <w:sz w:val="20"/>
                <w:szCs w:val="20"/>
              </w:rPr>
              <w:t xml:space="preserve">, Medicaid: </w:t>
            </w:r>
            <w:r w:rsidRPr="00BF4C03">
              <w:rPr>
                <w:rFonts w:ascii="Verdana" w:hAnsi="Verdana"/>
                <w:color w:val="FF0000"/>
                <w:sz w:val="20"/>
                <w:szCs w:val="20"/>
              </w:rPr>
              <w:t>NP</w:t>
            </w:r>
            <w:r w:rsidRPr="00BF4C03">
              <w:rPr>
                <w:rFonts w:ascii="Verdana" w:hAnsi="Verdana"/>
                <w:sz w:val="20"/>
                <w:szCs w:val="20"/>
              </w:rPr>
              <w:t xml:space="preserve">, HIX: </w:t>
            </w:r>
            <w:r w:rsidRPr="00BF4C03">
              <w:rPr>
                <w:rFonts w:ascii="Verdana" w:hAnsi="Verdana"/>
                <w:color w:val="FF0000"/>
                <w:sz w:val="20"/>
                <w:szCs w:val="20"/>
              </w:rPr>
              <w:t>NF</w:t>
            </w:r>
          </w:p>
          <w:p w14:paraId="6F1BB6BA" w14:textId="370E23BA" w:rsidR="005641F0" w:rsidRPr="00154175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641F0" w:rsidRPr="00852F8C" w14:paraId="466104D0" w14:textId="77777777" w:rsidTr="001C6EB3">
        <w:tc>
          <w:tcPr>
            <w:tcW w:w="2520" w:type="dxa"/>
            <w:shd w:val="clear" w:color="auto" w:fill="auto"/>
          </w:tcPr>
          <w:p w14:paraId="471AAA8F" w14:textId="17A79AEB" w:rsidR="005641F0" w:rsidRPr="00852F8C" w:rsidRDefault="005641F0" w:rsidP="005641F0">
            <w:pPr>
              <w:rPr>
                <w:rFonts w:ascii="Verdana" w:hAnsi="Verdana" w:cs="Arial"/>
                <w:sz w:val="20"/>
                <w:szCs w:val="20"/>
              </w:rPr>
            </w:pPr>
            <w:r w:rsidRPr="00BD737B">
              <w:rPr>
                <w:rFonts w:ascii="Verdana" w:hAnsi="Verdana"/>
                <w:color w:val="000000"/>
                <w:sz w:val="20"/>
                <w:szCs w:val="20"/>
              </w:rPr>
              <w:t>Insulin glargine (</w:t>
            </w:r>
            <w:proofErr w:type="spellStart"/>
            <w:r w:rsidRPr="00BD737B">
              <w:rPr>
                <w:rFonts w:ascii="Verdana" w:hAnsi="Verdana"/>
                <w:color w:val="000000"/>
                <w:sz w:val="20"/>
                <w:szCs w:val="20"/>
              </w:rPr>
              <w:t>Toujeo</w:t>
            </w:r>
            <w:proofErr w:type="spellEnd"/>
            <w:r w:rsidRPr="00BD737B">
              <w:rPr>
                <w:rFonts w:ascii="Verdana" w:hAnsi="Verdana"/>
                <w:color w:val="000000"/>
                <w:sz w:val="20"/>
                <w:szCs w:val="20"/>
              </w:rPr>
              <w:t xml:space="preserve"> AG) 300 unit/mL pen-injector for diabetes</w:t>
            </w:r>
          </w:p>
        </w:tc>
        <w:tc>
          <w:tcPr>
            <w:tcW w:w="4262" w:type="dxa"/>
            <w:shd w:val="clear" w:color="auto" w:fill="auto"/>
          </w:tcPr>
          <w:p w14:paraId="13EEE2D8" w14:textId="77777777" w:rsidR="005641F0" w:rsidRPr="00D20EE6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D20EE6">
              <w:rPr>
                <w:rFonts w:ascii="Verdana" w:hAnsi="Verdana"/>
                <w:sz w:val="20"/>
                <w:szCs w:val="20"/>
              </w:rPr>
              <w:t>MedD</w:t>
            </w:r>
            <w:proofErr w:type="spellEnd"/>
            <w:r w:rsidRPr="00D20EE6">
              <w:rPr>
                <w:rFonts w:ascii="Verdana" w:hAnsi="Verdana"/>
                <w:sz w:val="20"/>
                <w:szCs w:val="20"/>
              </w:rPr>
              <w:t xml:space="preserve"> and PPO include </w:t>
            </w:r>
            <w:proofErr w:type="spellStart"/>
            <w:r w:rsidRPr="00D20EE6">
              <w:rPr>
                <w:rFonts w:ascii="Verdana" w:hAnsi="Verdana"/>
                <w:sz w:val="20"/>
                <w:szCs w:val="20"/>
              </w:rPr>
              <w:t>Toujeo</w:t>
            </w:r>
            <w:proofErr w:type="spellEnd"/>
            <w:r w:rsidRPr="00D20EE6">
              <w:rPr>
                <w:rFonts w:ascii="Verdana" w:hAnsi="Verdana"/>
                <w:sz w:val="20"/>
                <w:szCs w:val="20"/>
              </w:rPr>
              <w:t xml:space="preserve"> on the $35 insulin </w:t>
            </w:r>
            <w:proofErr w:type="gramStart"/>
            <w:r w:rsidRPr="00D20EE6">
              <w:rPr>
                <w:rFonts w:ascii="Verdana" w:hAnsi="Verdana"/>
                <w:sz w:val="20"/>
                <w:szCs w:val="20"/>
              </w:rPr>
              <w:t>program</w:t>
            </w:r>
            <w:proofErr w:type="gramEnd"/>
            <w:r w:rsidRPr="00D20EE6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4E813828" w14:textId="77777777" w:rsidR="005641F0" w:rsidRPr="00BF4C03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  <w:r w:rsidRPr="00D20EE6">
              <w:rPr>
                <w:rFonts w:ascii="Verdana" w:hAnsi="Verdana"/>
                <w:sz w:val="20"/>
                <w:szCs w:val="20"/>
              </w:rPr>
              <w:t xml:space="preserve">IFP prefers </w:t>
            </w:r>
            <w:proofErr w:type="spellStart"/>
            <w:proofErr w:type="gramStart"/>
            <w:r w:rsidRPr="00D20EE6">
              <w:rPr>
                <w:rFonts w:ascii="Verdana" w:hAnsi="Verdana"/>
                <w:sz w:val="20"/>
                <w:szCs w:val="20"/>
              </w:rPr>
              <w:t>Basaglar</w:t>
            </w:r>
            <w:proofErr w:type="spellEnd"/>
            <w:proofErr w:type="gramEnd"/>
          </w:p>
          <w:p w14:paraId="650E1CBE" w14:textId="00BB767C" w:rsidR="005641F0" w:rsidRPr="00154175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35" w:type="dxa"/>
            <w:shd w:val="clear" w:color="auto" w:fill="auto"/>
          </w:tcPr>
          <w:p w14:paraId="4E543F81" w14:textId="77777777" w:rsidR="005641F0" w:rsidRPr="00BF4C03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  <w:r w:rsidRPr="00BF4C03">
              <w:rPr>
                <w:rFonts w:ascii="Verdana" w:hAnsi="Verdana"/>
                <w:sz w:val="20"/>
                <w:szCs w:val="20"/>
              </w:rPr>
              <w:t xml:space="preserve">Medicare: </w:t>
            </w:r>
            <w:r w:rsidRPr="00BF4C03">
              <w:rPr>
                <w:rFonts w:ascii="Verdana" w:hAnsi="Verdana"/>
                <w:color w:val="FF0000"/>
                <w:sz w:val="20"/>
                <w:szCs w:val="20"/>
              </w:rPr>
              <w:t>NF</w:t>
            </w:r>
            <w:r w:rsidRPr="00BF4C03">
              <w:rPr>
                <w:rFonts w:ascii="Verdana" w:hAnsi="Verdana"/>
                <w:sz w:val="20"/>
                <w:szCs w:val="20"/>
              </w:rPr>
              <w:t xml:space="preserve">, PPO: </w:t>
            </w:r>
            <w:r w:rsidRPr="00BF4C03">
              <w:rPr>
                <w:rFonts w:ascii="Verdana" w:hAnsi="Verdana"/>
                <w:color w:val="FF0000"/>
                <w:sz w:val="20"/>
                <w:szCs w:val="20"/>
              </w:rPr>
              <w:t>NF</w:t>
            </w:r>
            <w:r w:rsidRPr="00BF4C03">
              <w:rPr>
                <w:rFonts w:ascii="Verdana" w:hAnsi="Verdana"/>
                <w:sz w:val="20"/>
                <w:szCs w:val="20"/>
              </w:rPr>
              <w:t xml:space="preserve">, Medicaid: </w:t>
            </w:r>
            <w:r w:rsidRPr="00BF4C03">
              <w:rPr>
                <w:rFonts w:ascii="Verdana" w:hAnsi="Verdana"/>
                <w:color w:val="FF0000"/>
                <w:sz w:val="20"/>
                <w:szCs w:val="20"/>
              </w:rPr>
              <w:t>NP</w:t>
            </w:r>
            <w:r w:rsidRPr="00BF4C03">
              <w:rPr>
                <w:rFonts w:ascii="Verdana" w:hAnsi="Verdana"/>
                <w:sz w:val="20"/>
                <w:szCs w:val="20"/>
              </w:rPr>
              <w:t xml:space="preserve">, HIX: </w:t>
            </w:r>
            <w:r w:rsidRPr="00BF4C03">
              <w:rPr>
                <w:rFonts w:ascii="Verdana" w:hAnsi="Verdana"/>
                <w:color w:val="FF0000"/>
                <w:sz w:val="20"/>
                <w:szCs w:val="20"/>
              </w:rPr>
              <w:t>NF</w:t>
            </w:r>
          </w:p>
          <w:p w14:paraId="69719B55" w14:textId="547AA93D" w:rsidR="005641F0" w:rsidRPr="00154175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641F0" w:rsidRPr="00852F8C" w14:paraId="097E7538" w14:textId="77777777" w:rsidTr="001C6EB3">
        <w:tc>
          <w:tcPr>
            <w:tcW w:w="2520" w:type="dxa"/>
            <w:shd w:val="clear" w:color="auto" w:fill="auto"/>
          </w:tcPr>
          <w:p w14:paraId="3DEBB748" w14:textId="11152410" w:rsidR="005641F0" w:rsidRPr="00852F8C" w:rsidRDefault="005641F0" w:rsidP="005641F0">
            <w:pPr>
              <w:rPr>
                <w:rFonts w:ascii="Verdana" w:hAnsi="Verdana" w:cs="Arial"/>
                <w:sz w:val="20"/>
                <w:szCs w:val="20"/>
              </w:rPr>
            </w:pPr>
            <w:r w:rsidRPr="00FC5B72">
              <w:rPr>
                <w:rFonts w:ascii="Verdana" w:hAnsi="Verdana"/>
                <w:color w:val="000000"/>
                <w:sz w:val="20"/>
                <w:szCs w:val="20"/>
              </w:rPr>
              <w:t>Dapagliflozin (</w:t>
            </w:r>
            <w:proofErr w:type="spellStart"/>
            <w:r w:rsidRPr="00FC5B72">
              <w:rPr>
                <w:rFonts w:ascii="Verdana" w:hAnsi="Verdana"/>
                <w:color w:val="000000"/>
                <w:sz w:val="20"/>
                <w:szCs w:val="20"/>
              </w:rPr>
              <w:t>Farxiga</w:t>
            </w:r>
            <w:proofErr w:type="spellEnd"/>
            <w:r w:rsidRPr="00FC5B72">
              <w:rPr>
                <w:rFonts w:ascii="Verdana" w:hAnsi="Verdana"/>
                <w:color w:val="000000"/>
                <w:sz w:val="20"/>
                <w:szCs w:val="20"/>
              </w:rPr>
              <w:t xml:space="preserve"> AG) 5 &amp; 10 mg tablets for type 2 diabetes, heart failure, &amp; chronic kidney disease</w:t>
            </w:r>
          </w:p>
        </w:tc>
        <w:tc>
          <w:tcPr>
            <w:tcW w:w="4262" w:type="dxa"/>
            <w:shd w:val="clear" w:color="auto" w:fill="auto"/>
          </w:tcPr>
          <w:p w14:paraId="16E31F99" w14:textId="73153860" w:rsidR="005641F0" w:rsidRPr="00154175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  <w:r w:rsidRPr="00D20EE6">
              <w:rPr>
                <w:rFonts w:ascii="Verdana" w:hAnsi="Verdana"/>
                <w:sz w:val="20"/>
                <w:szCs w:val="20"/>
              </w:rPr>
              <w:t>Multisource brand product. True generic expected end of 2025</w:t>
            </w:r>
          </w:p>
        </w:tc>
        <w:tc>
          <w:tcPr>
            <w:tcW w:w="4135" w:type="dxa"/>
            <w:shd w:val="clear" w:color="auto" w:fill="auto"/>
          </w:tcPr>
          <w:p w14:paraId="1020AE6B" w14:textId="77777777" w:rsidR="005641F0" w:rsidRPr="00BF4C03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  <w:r w:rsidRPr="00BF4C03">
              <w:rPr>
                <w:rFonts w:ascii="Verdana" w:hAnsi="Verdana"/>
                <w:sz w:val="20"/>
                <w:szCs w:val="20"/>
              </w:rPr>
              <w:t xml:space="preserve">Medicare: </w:t>
            </w:r>
            <w:r w:rsidRPr="00BF4C03">
              <w:rPr>
                <w:rFonts w:ascii="Verdana" w:hAnsi="Verdana"/>
                <w:color w:val="FF0000"/>
                <w:sz w:val="20"/>
                <w:szCs w:val="20"/>
              </w:rPr>
              <w:t>NF</w:t>
            </w:r>
            <w:r w:rsidRPr="00BF4C03">
              <w:rPr>
                <w:rFonts w:ascii="Verdana" w:hAnsi="Verdana"/>
                <w:sz w:val="20"/>
                <w:szCs w:val="20"/>
              </w:rPr>
              <w:t xml:space="preserve">, PPO: </w:t>
            </w:r>
            <w:r w:rsidRPr="00BF4C03">
              <w:rPr>
                <w:rFonts w:ascii="Verdana" w:hAnsi="Verdana"/>
                <w:color w:val="FF0000"/>
                <w:sz w:val="20"/>
                <w:szCs w:val="20"/>
              </w:rPr>
              <w:t>NF</w:t>
            </w:r>
            <w:r w:rsidRPr="00BF4C03">
              <w:rPr>
                <w:rFonts w:ascii="Verdana" w:hAnsi="Verdana"/>
                <w:sz w:val="20"/>
                <w:szCs w:val="20"/>
              </w:rPr>
              <w:t xml:space="preserve">, Medicaid: </w:t>
            </w:r>
            <w:r w:rsidRPr="00BF4C03">
              <w:rPr>
                <w:rFonts w:ascii="Verdana" w:hAnsi="Verdana"/>
                <w:color w:val="FF0000"/>
                <w:sz w:val="20"/>
                <w:szCs w:val="20"/>
              </w:rPr>
              <w:t>NF</w:t>
            </w:r>
            <w:r w:rsidRPr="00BF4C03">
              <w:rPr>
                <w:rFonts w:ascii="Verdana" w:hAnsi="Verdana"/>
                <w:sz w:val="20"/>
                <w:szCs w:val="20"/>
              </w:rPr>
              <w:t xml:space="preserve">, HIX: </w:t>
            </w:r>
            <w:r w:rsidRPr="00BF4C03">
              <w:rPr>
                <w:rFonts w:ascii="Verdana" w:hAnsi="Verdana"/>
                <w:color w:val="FF0000"/>
                <w:sz w:val="20"/>
                <w:szCs w:val="20"/>
              </w:rPr>
              <w:t>NF</w:t>
            </w:r>
          </w:p>
          <w:p w14:paraId="223FED47" w14:textId="1D8FD373" w:rsidR="005641F0" w:rsidRPr="00154175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641F0" w:rsidRPr="00852F8C" w14:paraId="22504A76" w14:textId="77777777" w:rsidTr="001C6EB3">
        <w:tc>
          <w:tcPr>
            <w:tcW w:w="2520" w:type="dxa"/>
            <w:shd w:val="clear" w:color="auto" w:fill="auto"/>
          </w:tcPr>
          <w:p w14:paraId="69BBF7BE" w14:textId="50CFF5F1" w:rsidR="005641F0" w:rsidRPr="00852F8C" w:rsidRDefault="005641F0" w:rsidP="005641F0">
            <w:pPr>
              <w:rPr>
                <w:rFonts w:ascii="Verdana" w:hAnsi="Verdana" w:cs="Arial"/>
                <w:sz w:val="20"/>
                <w:szCs w:val="20"/>
              </w:rPr>
            </w:pPr>
            <w:r w:rsidRPr="00FC5B72">
              <w:rPr>
                <w:rFonts w:ascii="Verdana" w:hAnsi="Verdana"/>
                <w:color w:val="000000"/>
                <w:sz w:val="20"/>
                <w:szCs w:val="20"/>
              </w:rPr>
              <w:t>Dapagliflozin-metformin ER (</w:t>
            </w:r>
            <w:proofErr w:type="spellStart"/>
            <w:r w:rsidRPr="00FC5B72">
              <w:rPr>
                <w:rFonts w:ascii="Verdana" w:hAnsi="Verdana"/>
                <w:color w:val="000000"/>
                <w:sz w:val="20"/>
                <w:szCs w:val="20"/>
              </w:rPr>
              <w:t>Xigduo</w:t>
            </w:r>
            <w:proofErr w:type="spellEnd"/>
            <w:r w:rsidRPr="00FC5B72">
              <w:rPr>
                <w:rFonts w:ascii="Verdana" w:hAnsi="Verdana"/>
                <w:color w:val="000000"/>
                <w:sz w:val="20"/>
                <w:szCs w:val="20"/>
              </w:rPr>
              <w:t xml:space="preserve"> XR AG) 5-1000 &amp; 10-</w:t>
            </w:r>
            <w:r w:rsidRPr="00FC5B72"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 xml:space="preserve">1000 mg tablets for type 2 diabetes </w:t>
            </w:r>
          </w:p>
        </w:tc>
        <w:tc>
          <w:tcPr>
            <w:tcW w:w="4262" w:type="dxa"/>
            <w:shd w:val="clear" w:color="auto" w:fill="auto"/>
          </w:tcPr>
          <w:p w14:paraId="6B1C1B92" w14:textId="551B0BCC" w:rsidR="005641F0" w:rsidRPr="00154175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  <w:r w:rsidRPr="00D20EE6">
              <w:rPr>
                <w:rFonts w:ascii="Verdana" w:hAnsi="Verdana"/>
                <w:sz w:val="20"/>
                <w:szCs w:val="20"/>
              </w:rPr>
              <w:lastRenderedPageBreak/>
              <w:t>Multisource brand product. True generic expected end of 2025</w:t>
            </w:r>
          </w:p>
        </w:tc>
        <w:tc>
          <w:tcPr>
            <w:tcW w:w="4135" w:type="dxa"/>
            <w:shd w:val="clear" w:color="auto" w:fill="auto"/>
          </w:tcPr>
          <w:p w14:paraId="09A06482" w14:textId="77777777" w:rsidR="005641F0" w:rsidRPr="00BF4C03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  <w:r w:rsidRPr="00BF4C03">
              <w:rPr>
                <w:rFonts w:ascii="Verdana" w:hAnsi="Verdana"/>
                <w:sz w:val="20"/>
                <w:szCs w:val="20"/>
              </w:rPr>
              <w:t xml:space="preserve">Medicare: </w:t>
            </w:r>
            <w:r w:rsidRPr="00BF4C03">
              <w:rPr>
                <w:rFonts w:ascii="Verdana" w:hAnsi="Verdana"/>
                <w:color w:val="FF0000"/>
                <w:sz w:val="20"/>
                <w:szCs w:val="20"/>
              </w:rPr>
              <w:t>NF</w:t>
            </w:r>
            <w:r w:rsidRPr="00BF4C03">
              <w:rPr>
                <w:rFonts w:ascii="Verdana" w:hAnsi="Verdana"/>
                <w:sz w:val="20"/>
                <w:szCs w:val="20"/>
              </w:rPr>
              <w:t xml:space="preserve">, PPO: </w:t>
            </w:r>
            <w:r w:rsidRPr="00BF4C03">
              <w:rPr>
                <w:rFonts w:ascii="Verdana" w:hAnsi="Verdana"/>
                <w:color w:val="FF0000"/>
                <w:sz w:val="20"/>
                <w:szCs w:val="20"/>
              </w:rPr>
              <w:t>NF</w:t>
            </w:r>
            <w:r w:rsidRPr="00BF4C03">
              <w:rPr>
                <w:rFonts w:ascii="Verdana" w:hAnsi="Verdana"/>
                <w:sz w:val="20"/>
                <w:szCs w:val="20"/>
              </w:rPr>
              <w:t xml:space="preserve">, Medicaid: </w:t>
            </w:r>
            <w:r w:rsidRPr="00BF4C03">
              <w:rPr>
                <w:rFonts w:ascii="Verdana" w:hAnsi="Verdana"/>
                <w:color w:val="FF0000"/>
                <w:sz w:val="20"/>
                <w:szCs w:val="20"/>
              </w:rPr>
              <w:t>NF</w:t>
            </w:r>
            <w:r w:rsidRPr="00BF4C03">
              <w:rPr>
                <w:rFonts w:ascii="Verdana" w:hAnsi="Verdana"/>
                <w:sz w:val="20"/>
                <w:szCs w:val="20"/>
              </w:rPr>
              <w:t xml:space="preserve">, HIX: </w:t>
            </w:r>
            <w:r w:rsidRPr="00BF4C03">
              <w:rPr>
                <w:rFonts w:ascii="Verdana" w:hAnsi="Verdana"/>
                <w:color w:val="FF0000"/>
                <w:sz w:val="20"/>
                <w:szCs w:val="20"/>
              </w:rPr>
              <w:t>NF</w:t>
            </w:r>
          </w:p>
          <w:p w14:paraId="305AB14B" w14:textId="77777777" w:rsidR="005641F0" w:rsidRPr="00154175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641F0" w:rsidRPr="00852F8C" w14:paraId="5E1DB3DE" w14:textId="77777777" w:rsidTr="001C6EB3">
        <w:tc>
          <w:tcPr>
            <w:tcW w:w="2520" w:type="dxa"/>
            <w:shd w:val="clear" w:color="auto" w:fill="auto"/>
          </w:tcPr>
          <w:p w14:paraId="50A5CF25" w14:textId="693C8912" w:rsidR="005641F0" w:rsidRPr="00852F8C" w:rsidRDefault="005641F0" w:rsidP="005641F0">
            <w:pPr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FC5B72">
              <w:rPr>
                <w:rFonts w:ascii="Verdana" w:hAnsi="Verdana"/>
                <w:color w:val="000000"/>
                <w:sz w:val="20"/>
                <w:szCs w:val="20"/>
              </w:rPr>
              <w:t>Bromfenac</w:t>
            </w:r>
            <w:proofErr w:type="spellEnd"/>
            <w:r w:rsidRPr="00FC5B72">
              <w:rPr>
                <w:rFonts w:ascii="Verdana" w:hAnsi="Verdana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C5B72">
              <w:rPr>
                <w:rFonts w:ascii="Verdana" w:hAnsi="Verdana"/>
                <w:color w:val="000000"/>
                <w:sz w:val="20"/>
                <w:szCs w:val="20"/>
              </w:rPr>
              <w:t>Prolensa</w:t>
            </w:r>
            <w:proofErr w:type="spellEnd"/>
            <w:r w:rsidRPr="00FC5B72">
              <w:rPr>
                <w:rFonts w:ascii="Verdana" w:hAnsi="Verdana"/>
                <w:color w:val="000000"/>
                <w:sz w:val="20"/>
                <w:szCs w:val="20"/>
              </w:rPr>
              <w:t xml:space="preserve">) 0.07% ophthalmic solution for postoperative inflammation &amp; ocular pain </w:t>
            </w:r>
          </w:p>
        </w:tc>
        <w:tc>
          <w:tcPr>
            <w:tcW w:w="4262" w:type="dxa"/>
            <w:shd w:val="clear" w:color="auto" w:fill="auto"/>
          </w:tcPr>
          <w:p w14:paraId="52635A12" w14:textId="77777777" w:rsidR="005641F0" w:rsidRPr="00D20EE6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  <w:r w:rsidRPr="00D20EE6">
              <w:rPr>
                <w:rFonts w:ascii="Verdana" w:eastAsia="Times New Roman" w:hAnsi="Verdana"/>
                <w:sz w:val="20"/>
                <w:szCs w:val="20"/>
              </w:rPr>
              <w:t xml:space="preserve">Brand is NF for </w:t>
            </w:r>
            <w:proofErr w:type="spellStart"/>
            <w:r w:rsidRPr="00D20EE6">
              <w:rPr>
                <w:rFonts w:ascii="Verdana" w:eastAsia="Times New Roman" w:hAnsi="Verdana"/>
                <w:sz w:val="20"/>
                <w:szCs w:val="20"/>
              </w:rPr>
              <w:t>MedD</w:t>
            </w:r>
            <w:proofErr w:type="spellEnd"/>
            <w:r w:rsidRPr="00D20EE6">
              <w:rPr>
                <w:rFonts w:ascii="Verdana" w:eastAsia="Times New Roman" w:hAnsi="Verdana"/>
                <w:sz w:val="20"/>
                <w:szCs w:val="20"/>
              </w:rPr>
              <w:t>, PPO, and IFP</w:t>
            </w:r>
          </w:p>
          <w:p w14:paraId="488338E8" w14:textId="77777777" w:rsidR="005641F0" w:rsidRPr="00D20EE6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  <w:r w:rsidRPr="00D20EE6">
              <w:rPr>
                <w:rFonts w:ascii="Verdana" w:eastAsia="Times New Roman" w:hAnsi="Verdana"/>
                <w:sz w:val="20"/>
                <w:szCs w:val="20"/>
              </w:rPr>
              <w:t>Medicaid: PDL controlled (Brand 0.07% and Generic 0.09% NP)</w:t>
            </w:r>
          </w:p>
          <w:p w14:paraId="0408B0A3" w14:textId="77777777" w:rsidR="005641F0" w:rsidRPr="00154175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35" w:type="dxa"/>
            <w:shd w:val="clear" w:color="auto" w:fill="auto"/>
          </w:tcPr>
          <w:p w14:paraId="6D2B0A59" w14:textId="77777777" w:rsidR="005641F0" w:rsidRPr="00BF4C03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  <w:r w:rsidRPr="00BF4C03">
              <w:rPr>
                <w:rFonts w:ascii="Verdana" w:hAnsi="Verdana"/>
                <w:sz w:val="20"/>
                <w:szCs w:val="20"/>
              </w:rPr>
              <w:t xml:space="preserve">Medicare: </w:t>
            </w:r>
            <w:r w:rsidRPr="00BF4C03">
              <w:rPr>
                <w:rFonts w:ascii="Verdana" w:hAnsi="Verdana"/>
                <w:color w:val="FF0000"/>
                <w:sz w:val="20"/>
                <w:szCs w:val="20"/>
              </w:rPr>
              <w:t>NF</w:t>
            </w:r>
            <w:r w:rsidRPr="00BF4C03">
              <w:rPr>
                <w:rFonts w:ascii="Verdana" w:hAnsi="Verdana"/>
                <w:sz w:val="20"/>
                <w:szCs w:val="20"/>
              </w:rPr>
              <w:t xml:space="preserve">, PPO: </w:t>
            </w:r>
            <w:r w:rsidRPr="00BF4C03">
              <w:rPr>
                <w:rFonts w:ascii="Verdana" w:hAnsi="Verdana"/>
                <w:color w:val="FF0000"/>
                <w:sz w:val="20"/>
                <w:szCs w:val="20"/>
              </w:rPr>
              <w:t>NF</w:t>
            </w:r>
            <w:r w:rsidRPr="00BF4C03">
              <w:rPr>
                <w:rFonts w:ascii="Verdana" w:hAnsi="Verdana"/>
                <w:sz w:val="20"/>
                <w:szCs w:val="20"/>
              </w:rPr>
              <w:t xml:space="preserve">, Medicaid: </w:t>
            </w:r>
            <w:r w:rsidRPr="00BF4C03">
              <w:rPr>
                <w:rFonts w:ascii="Verdana" w:hAnsi="Verdana"/>
                <w:color w:val="FF0000"/>
                <w:sz w:val="20"/>
                <w:szCs w:val="20"/>
              </w:rPr>
              <w:t>NF</w:t>
            </w:r>
            <w:r w:rsidRPr="00BF4C03">
              <w:rPr>
                <w:rFonts w:ascii="Verdana" w:hAnsi="Verdana"/>
                <w:sz w:val="20"/>
                <w:szCs w:val="20"/>
              </w:rPr>
              <w:t xml:space="preserve">, HIX: </w:t>
            </w:r>
            <w:r w:rsidRPr="00BF4C03">
              <w:rPr>
                <w:rFonts w:ascii="Verdana" w:hAnsi="Verdana"/>
                <w:color w:val="FF0000"/>
                <w:sz w:val="20"/>
                <w:szCs w:val="20"/>
              </w:rPr>
              <w:t>NF</w:t>
            </w:r>
          </w:p>
          <w:p w14:paraId="5C6D09CC" w14:textId="77777777" w:rsidR="005641F0" w:rsidRPr="00154175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641F0" w:rsidRPr="00852F8C" w14:paraId="0FDE0658" w14:textId="77777777" w:rsidTr="001C6EB3">
        <w:tc>
          <w:tcPr>
            <w:tcW w:w="2520" w:type="dxa"/>
            <w:shd w:val="clear" w:color="auto" w:fill="auto"/>
          </w:tcPr>
          <w:p w14:paraId="4B24597A" w14:textId="2738F204" w:rsidR="005641F0" w:rsidRPr="00852F8C" w:rsidRDefault="005641F0" w:rsidP="005641F0">
            <w:pPr>
              <w:rPr>
                <w:rFonts w:ascii="Verdana" w:hAnsi="Verdana" w:cs="Arial"/>
                <w:sz w:val="20"/>
                <w:szCs w:val="20"/>
              </w:rPr>
            </w:pPr>
            <w:r w:rsidRPr="00FC5B72">
              <w:rPr>
                <w:rFonts w:ascii="Verdana" w:hAnsi="Verdana"/>
                <w:color w:val="000000"/>
                <w:sz w:val="20"/>
                <w:szCs w:val="20"/>
              </w:rPr>
              <w:t>Indomethacin (Indocin) 25 mg/5 mL oral suspension for pain</w:t>
            </w:r>
          </w:p>
        </w:tc>
        <w:tc>
          <w:tcPr>
            <w:tcW w:w="4262" w:type="dxa"/>
            <w:shd w:val="clear" w:color="auto" w:fill="auto"/>
          </w:tcPr>
          <w:p w14:paraId="4EA95CB1" w14:textId="77777777" w:rsidR="005641F0" w:rsidRPr="00D20EE6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  <w:r w:rsidRPr="00D20EE6">
              <w:rPr>
                <w:rFonts w:ascii="Verdana" w:eastAsia="Times New Roman" w:hAnsi="Verdana"/>
                <w:sz w:val="20"/>
                <w:szCs w:val="20"/>
              </w:rPr>
              <w:t xml:space="preserve">Brand is NF for all </w:t>
            </w:r>
            <w:proofErr w:type="gramStart"/>
            <w:r w:rsidRPr="00D20EE6">
              <w:rPr>
                <w:rFonts w:ascii="Verdana" w:eastAsia="Times New Roman" w:hAnsi="Verdana"/>
                <w:sz w:val="20"/>
                <w:szCs w:val="20"/>
              </w:rPr>
              <w:t>LOB</w:t>
            </w:r>
            <w:proofErr w:type="gramEnd"/>
          </w:p>
          <w:p w14:paraId="5255D8F4" w14:textId="77777777" w:rsidR="005641F0" w:rsidRPr="00D20EE6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  <w:r w:rsidRPr="00D20EE6">
              <w:rPr>
                <w:rFonts w:ascii="Verdana" w:eastAsia="Times New Roman" w:hAnsi="Verdana"/>
                <w:sz w:val="20"/>
                <w:szCs w:val="20"/>
              </w:rPr>
              <w:t>Oral options available at a much lower cost</w:t>
            </w:r>
          </w:p>
          <w:p w14:paraId="4C896B52" w14:textId="77777777" w:rsidR="005641F0" w:rsidRPr="00154175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35" w:type="dxa"/>
            <w:shd w:val="clear" w:color="auto" w:fill="auto"/>
          </w:tcPr>
          <w:p w14:paraId="4270DCA3" w14:textId="77777777" w:rsidR="005641F0" w:rsidRPr="00BF4C03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  <w:r w:rsidRPr="00BF4C03">
              <w:rPr>
                <w:rFonts w:ascii="Verdana" w:hAnsi="Verdana"/>
                <w:sz w:val="20"/>
                <w:szCs w:val="20"/>
              </w:rPr>
              <w:t>Medicare: NF, PPO: NF, Medicaid: NF, HIX: NF</w:t>
            </w:r>
          </w:p>
          <w:p w14:paraId="4EE70600" w14:textId="77777777" w:rsidR="005641F0" w:rsidRPr="00154175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641F0" w:rsidRPr="00852F8C" w14:paraId="17CF4D56" w14:textId="77777777" w:rsidTr="001C6EB3">
        <w:tc>
          <w:tcPr>
            <w:tcW w:w="2520" w:type="dxa"/>
            <w:shd w:val="clear" w:color="auto" w:fill="auto"/>
          </w:tcPr>
          <w:p w14:paraId="51A4A5E4" w14:textId="7ECD2470" w:rsidR="005641F0" w:rsidRPr="00852F8C" w:rsidRDefault="005641F0" w:rsidP="005641F0">
            <w:pPr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FC5B72">
              <w:rPr>
                <w:rFonts w:ascii="Verdana" w:hAnsi="Verdana"/>
                <w:color w:val="000000"/>
                <w:sz w:val="20"/>
                <w:szCs w:val="20"/>
              </w:rPr>
              <w:t>Udenyca</w:t>
            </w:r>
            <w:proofErr w:type="spellEnd"/>
            <w:r w:rsidRPr="00FC5B72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5B72">
              <w:rPr>
                <w:rFonts w:ascii="Verdana" w:hAnsi="Verdana"/>
                <w:color w:val="000000"/>
                <w:sz w:val="20"/>
                <w:szCs w:val="20"/>
              </w:rPr>
              <w:t>Onbody</w:t>
            </w:r>
            <w:proofErr w:type="spellEnd"/>
            <w:r w:rsidRPr="00FC5B72">
              <w:rPr>
                <w:rFonts w:ascii="Verdana" w:hAnsi="Verdana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C5B72">
              <w:rPr>
                <w:rFonts w:ascii="Verdana" w:hAnsi="Verdana"/>
                <w:color w:val="000000"/>
                <w:sz w:val="20"/>
                <w:szCs w:val="20"/>
              </w:rPr>
              <w:t>pegfilgrastim</w:t>
            </w:r>
            <w:proofErr w:type="spellEnd"/>
            <w:r w:rsidRPr="00FC5B72">
              <w:rPr>
                <w:rFonts w:ascii="Verdana" w:hAnsi="Verdana"/>
                <w:color w:val="000000"/>
                <w:sz w:val="20"/>
                <w:szCs w:val="20"/>
              </w:rPr>
              <w:t xml:space="preserve">) 6 mg/0.6 mL syringe for febrile neutropenia </w:t>
            </w:r>
          </w:p>
        </w:tc>
        <w:tc>
          <w:tcPr>
            <w:tcW w:w="4262" w:type="dxa"/>
            <w:shd w:val="clear" w:color="auto" w:fill="auto"/>
          </w:tcPr>
          <w:p w14:paraId="1EFBEAFB" w14:textId="77777777" w:rsidR="005641F0" w:rsidRPr="00D20EE6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D20EE6">
              <w:rPr>
                <w:rFonts w:ascii="Verdana" w:eastAsia="Times New Roman" w:hAnsi="Verdana"/>
                <w:sz w:val="20"/>
                <w:szCs w:val="20"/>
              </w:rPr>
              <w:t>Udenyca</w:t>
            </w:r>
            <w:proofErr w:type="spellEnd"/>
            <w:r w:rsidRPr="00D20EE6">
              <w:rPr>
                <w:rFonts w:ascii="Verdana" w:eastAsia="Times New Roman" w:hAnsi="Verdana"/>
                <w:sz w:val="20"/>
                <w:szCs w:val="20"/>
              </w:rPr>
              <w:t xml:space="preserve"> covered for all LOB. </w:t>
            </w:r>
            <w:proofErr w:type="spellStart"/>
            <w:r w:rsidRPr="00D20EE6">
              <w:rPr>
                <w:rFonts w:ascii="Verdana" w:eastAsia="Times New Roman" w:hAnsi="Verdana"/>
                <w:sz w:val="20"/>
                <w:szCs w:val="20"/>
              </w:rPr>
              <w:t>Onbody</w:t>
            </w:r>
            <w:proofErr w:type="spellEnd"/>
            <w:r w:rsidRPr="00D20EE6">
              <w:rPr>
                <w:rFonts w:ascii="Verdana" w:eastAsia="Times New Roman" w:hAnsi="Verdana"/>
                <w:sz w:val="20"/>
                <w:szCs w:val="20"/>
              </w:rPr>
              <w:t xml:space="preserve"> injector must be filled by a healthcare </w:t>
            </w:r>
            <w:proofErr w:type="gramStart"/>
            <w:r w:rsidRPr="00D20EE6">
              <w:rPr>
                <w:rFonts w:ascii="Verdana" w:eastAsia="Times New Roman" w:hAnsi="Verdana"/>
                <w:sz w:val="20"/>
                <w:szCs w:val="20"/>
              </w:rPr>
              <w:t>provider</w:t>
            </w:r>
            <w:proofErr w:type="gramEnd"/>
          </w:p>
          <w:p w14:paraId="347D075A" w14:textId="77777777" w:rsidR="005641F0" w:rsidRPr="00154175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35" w:type="dxa"/>
            <w:shd w:val="clear" w:color="auto" w:fill="auto"/>
          </w:tcPr>
          <w:p w14:paraId="41725043" w14:textId="77777777" w:rsidR="005641F0" w:rsidRPr="00BF4C03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  <w:r w:rsidRPr="00BF4C03">
              <w:rPr>
                <w:rFonts w:ascii="Verdana" w:hAnsi="Verdana"/>
                <w:sz w:val="20"/>
                <w:szCs w:val="20"/>
              </w:rPr>
              <w:t xml:space="preserve">Medicare: </w:t>
            </w:r>
            <w:r w:rsidRPr="00BF4C03">
              <w:rPr>
                <w:rFonts w:ascii="Verdana" w:hAnsi="Verdana"/>
                <w:color w:val="FF0000"/>
                <w:sz w:val="20"/>
                <w:szCs w:val="20"/>
              </w:rPr>
              <w:t>NF</w:t>
            </w:r>
            <w:r w:rsidRPr="00BF4C03">
              <w:rPr>
                <w:rFonts w:ascii="Verdana" w:hAnsi="Verdana"/>
                <w:sz w:val="20"/>
                <w:szCs w:val="20"/>
              </w:rPr>
              <w:t xml:space="preserve">, PPO: </w:t>
            </w:r>
            <w:r w:rsidRPr="00BF4C03">
              <w:rPr>
                <w:rFonts w:ascii="Verdana" w:hAnsi="Verdana"/>
                <w:color w:val="FF0000"/>
                <w:sz w:val="20"/>
                <w:szCs w:val="20"/>
              </w:rPr>
              <w:t>NF</w:t>
            </w:r>
            <w:r w:rsidRPr="00BF4C03">
              <w:rPr>
                <w:rFonts w:ascii="Verdana" w:hAnsi="Verdana"/>
                <w:sz w:val="20"/>
                <w:szCs w:val="20"/>
              </w:rPr>
              <w:t xml:space="preserve">, Medicaid: </w:t>
            </w:r>
            <w:r w:rsidRPr="00BF4C03">
              <w:rPr>
                <w:rFonts w:ascii="Verdana" w:hAnsi="Verdana"/>
                <w:color w:val="FF0000"/>
                <w:sz w:val="20"/>
                <w:szCs w:val="20"/>
              </w:rPr>
              <w:t>NF</w:t>
            </w:r>
            <w:r w:rsidRPr="00BF4C03">
              <w:rPr>
                <w:rFonts w:ascii="Verdana" w:hAnsi="Verdana"/>
                <w:sz w:val="20"/>
                <w:szCs w:val="20"/>
              </w:rPr>
              <w:t xml:space="preserve">, HIX: </w:t>
            </w:r>
            <w:r w:rsidRPr="00BF4C03">
              <w:rPr>
                <w:rFonts w:ascii="Verdana" w:hAnsi="Verdana"/>
                <w:color w:val="FF0000"/>
                <w:sz w:val="20"/>
                <w:szCs w:val="20"/>
              </w:rPr>
              <w:t>NF</w:t>
            </w:r>
          </w:p>
          <w:p w14:paraId="3B8FD446" w14:textId="77777777" w:rsidR="005641F0" w:rsidRPr="00154175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641F0" w:rsidRPr="00852F8C" w14:paraId="085BAB95" w14:textId="77777777" w:rsidTr="001C6EB3">
        <w:tc>
          <w:tcPr>
            <w:tcW w:w="2520" w:type="dxa"/>
            <w:shd w:val="clear" w:color="auto" w:fill="auto"/>
          </w:tcPr>
          <w:p w14:paraId="5DE9020C" w14:textId="597DF334" w:rsidR="005641F0" w:rsidRPr="00852F8C" w:rsidRDefault="005641F0" w:rsidP="005641F0">
            <w:pPr>
              <w:rPr>
                <w:rFonts w:ascii="Verdana" w:hAnsi="Verdana" w:cs="Arial"/>
                <w:sz w:val="20"/>
                <w:szCs w:val="20"/>
              </w:rPr>
            </w:pPr>
            <w:r w:rsidRPr="00FC5B72">
              <w:rPr>
                <w:rFonts w:ascii="Verdana" w:hAnsi="Verdana"/>
                <w:color w:val="000000"/>
                <w:sz w:val="20"/>
                <w:szCs w:val="20"/>
              </w:rPr>
              <w:t>Gabapentin (</w:t>
            </w:r>
            <w:proofErr w:type="spellStart"/>
            <w:r w:rsidRPr="00FC5B72">
              <w:rPr>
                <w:rFonts w:ascii="Verdana" w:hAnsi="Verdana"/>
                <w:color w:val="000000"/>
                <w:sz w:val="20"/>
                <w:szCs w:val="20"/>
              </w:rPr>
              <w:t>Gralise</w:t>
            </w:r>
            <w:proofErr w:type="spellEnd"/>
            <w:r w:rsidRPr="00FC5B72">
              <w:rPr>
                <w:rFonts w:ascii="Verdana" w:hAnsi="Verdana"/>
                <w:color w:val="000000"/>
                <w:sz w:val="20"/>
                <w:szCs w:val="20"/>
              </w:rPr>
              <w:t>) 300 &amp; 600 mg tablets for postherpetic neuralgia</w:t>
            </w:r>
          </w:p>
        </w:tc>
        <w:tc>
          <w:tcPr>
            <w:tcW w:w="4262" w:type="dxa"/>
            <w:shd w:val="clear" w:color="auto" w:fill="auto"/>
          </w:tcPr>
          <w:p w14:paraId="4FE7FC10" w14:textId="77777777" w:rsidR="005641F0" w:rsidRPr="00D20EE6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  <w:r w:rsidRPr="00D20EE6">
              <w:rPr>
                <w:rFonts w:ascii="Verdana" w:eastAsia="Times New Roman" w:hAnsi="Verdana"/>
                <w:sz w:val="20"/>
                <w:szCs w:val="20"/>
              </w:rPr>
              <w:t xml:space="preserve">At over $9 per tablet, the generic </w:t>
            </w:r>
            <w:proofErr w:type="spellStart"/>
            <w:r w:rsidRPr="00D20EE6">
              <w:rPr>
                <w:rFonts w:ascii="Verdana" w:eastAsia="Times New Roman" w:hAnsi="Verdana"/>
                <w:sz w:val="20"/>
                <w:szCs w:val="20"/>
              </w:rPr>
              <w:t>Gralise</w:t>
            </w:r>
            <w:proofErr w:type="spellEnd"/>
            <w:r w:rsidRPr="00D20EE6">
              <w:rPr>
                <w:rFonts w:ascii="Verdana" w:eastAsia="Times New Roman" w:hAnsi="Verdana"/>
                <w:sz w:val="20"/>
                <w:szCs w:val="20"/>
              </w:rPr>
              <w:t xml:space="preserve"> is still 60-90 times the cost of the generic tablets. </w:t>
            </w:r>
          </w:p>
          <w:p w14:paraId="4F006E22" w14:textId="71D07511" w:rsidR="005641F0" w:rsidRPr="00154175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35" w:type="dxa"/>
            <w:shd w:val="clear" w:color="auto" w:fill="auto"/>
          </w:tcPr>
          <w:p w14:paraId="5E8DFE25" w14:textId="11BDDA6A" w:rsidR="005641F0" w:rsidRPr="00154175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  <w:r w:rsidRPr="00FC5B72">
              <w:rPr>
                <w:rFonts w:ascii="Verdana" w:hAnsi="Verdana"/>
                <w:sz w:val="20"/>
                <w:szCs w:val="20"/>
              </w:rPr>
              <w:t>Medicare: NF, PPO: NF, Medicaid: NF, HIX: NF</w:t>
            </w:r>
          </w:p>
        </w:tc>
      </w:tr>
      <w:tr w:rsidR="005641F0" w:rsidRPr="00852F8C" w14:paraId="34E78E11" w14:textId="77777777" w:rsidTr="001C6EB3">
        <w:tc>
          <w:tcPr>
            <w:tcW w:w="2520" w:type="dxa"/>
            <w:shd w:val="clear" w:color="auto" w:fill="auto"/>
          </w:tcPr>
          <w:p w14:paraId="0342B208" w14:textId="3B70DDDD" w:rsidR="005641F0" w:rsidRPr="00852F8C" w:rsidRDefault="005641F0" w:rsidP="005641F0">
            <w:pPr>
              <w:rPr>
                <w:rFonts w:ascii="Verdana" w:hAnsi="Verdana" w:cs="Arial"/>
                <w:sz w:val="20"/>
                <w:szCs w:val="20"/>
              </w:rPr>
            </w:pPr>
            <w:r w:rsidRPr="00FC5B72">
              <w:rPr>
                <w:rFonts w:ascii="Verdana" w:hAnsi="Verdana"/>
                <w:color w:val="000000"/>
                <w:sz w:val="20"/>
                <w:szCs w:val="20"/>
              </w:rPr>
              <w:t>mifepristone (</w:t>
            </w:r>
            <w:proofErr w:type="spellStart"/>
            <w:r w:rsidRPr="00FC5B72">
              <w:rPr>
                <w:rFonts w:ascii="Verdana" w:hAnsi="Verdana"/>
                <w:color w:val="000000"/>
                <w:sz w:val="20"/>
                <w:szCs w:val="20"/>
              </w:rPr>
              <w:t>Korlym</w:t>
            </w:r>
            <w:proofErr w:type="spellEnd"/>
            <w:r w:rsidRPr="00FC5B72">
              <w:rPr>
                <w:rFonts w:ascii="Verdana" w:hAnsi="Verdana"/>
                <w:color w:val="000000"/>
                <w:sz w:val="20"/>
                <w:szCs w:val="20"/>
              </w:rPr>
              <w:t>) 300 mg tablet for hyperglycemia secondary to hypercortisolism</w:t>
            </w:r>
          </w:p>
        </w:tc>
        <w:tc>
          <w:tcPr>
            <w:tcW w:w="4262" w:type="dxa"/>
            <w:shd w:val="clear" w:color="auto" w:fill="auto"/>
          </w:tcPr>
          <w:p w14:paraId="73FC3A74" w14:textId="77777777" w:rsidR="005641F0" w:rsidRPr="00BF4C03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  <w:r w:rsidRPr="00BF4C03">
              <w:rPr>
                <w:rFonts w:ascii="Verdana" w:hAnsi="Verdana"/>
                <w:sz w:val="20"/>
                <w:szCs w:val="20"/>
              </w:rPr>
              <w:t xml:space="preserve">Medicaid / IFP cover 200mg </w:t>
            </w:r>
            <w:proofErr w:type="gramStart"/>
            <w:r w:rsidRPr="00BF4C03">
              <w:rPr>
                <w:rFonts w:ascii="Verdana" w:hAnsi="Verdana"/>
                <w:sz w:val="20"/>
                <w:szCs w:val="20"/>
              </w:rPr>
              <w:t>dose</w:t>
            </w:r>
            <w:proofErr w:type="gramEnd"/>
          </w:p>
          <w:p w14:paraId="30B48332" w14:textId="2E5B65CF" w:rsidR="005641F0" w:rsidRPr="00154175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BF4C03">
              <w:rPr>
                <w:rFonts w:ascii="Verdana" w:hAnsi="Verdana"/>
                <w:sz w:val="20"/>
                <w:szCs w:val="20"/>
              </w:rPr>
              <w:t>MedD</w:t>
            </w:r>
            <w:proofErr w:type="spellEnd"/>
            <w:r w:rsidRPr="00BF4C03">
              <w:rPr>
                <w:rFonts w:ascii="Verdana" w:hAnsi="Verdana"/>
                <w:sz w:val="20"/>
                <w:szCs w:val="20"/>
              </w:rPr>
              <w:t xml:space="preserve"> covers Brand </w:t>
            </w:r>
            <w:proofErr w:type="spellStart"/>
            <w:r w:rsidRPr="00BF4C03">
              <w:rPr>
                <w:rFonts w:ascii="Verdana" w:hAnsi="Verdana"/>
                <w:sz w:val="20"/>
                <w:szCs w:val="20"/>
              </w:rPr>
              <w:t>Korlym</w:t>
            </w:r>
            <w:proofErr w:type="spellEnd"/>
          </w:p>
        </w:tc>
        <w:tc>
          <w:tcPr>
            <w:tcW w:w="4135" w:type="dxa"/>
            <w:shd w:val="clear" w:color="auto" w:fill="auto"/>
          </w:tcPr>
          <w:p w14:paraId="1819E80A" w14:textId="035D7ECF" w:rsidR="005641F0" w:rsidRPr="00154175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  <w:r w:rsidRPr="00FC5B72">
              <w:rPr>
                <w:rFonts w:ascii="Verdana" w:hAnsi="Verdana"/>
                <w:sz w:val="20"/>
                <w:szCs w:val="20"/>
              </w:rPr>
              <w:t xml:space="preserve">Medicare: </w:t>
            </w:r>
            <w:r w:rsidRPr="00BF4C03">
              <w:rPr>
                <w:rFonts w:ascii="Verdana" w:hAnsi="Verdana"/>
                <w:color w:val="FF0000"/>
                <w:sz w:val="20"/>
                <w:szCs w:val="20"/>
              </w:rPr>
              <w:t>F</w:t>
            </w:r>
            <w:r w:rsidRPr="00FC5B72">
              <w:rPr>
                <w:rFonts w:ascii="Verdana" w:hAnsi="Verdana"/>
                <w:sz w:val="20"/>
                <w:szCs w:val="20"/>
              </w:rPr>
              <w:t xml:space="preserve">, PPO: </w:t>
            </w:r>
            <w:r w:rsidRPr="00BF4C03">
              <w:rPr>
                <w:rFonts w:ascii="Verdana" w:hAnsi="Verdana"/>
                <w:color w:val="FF0000"/>
                <w:sz w:val="20"/>
                <w:szCs w:val="20"/>
              </w:rPr>
              <w:t>F</w:t>
            </w:r>
            <w:r w:rsidRPr="00FC5B72">
              <w:rPr>
                <w:rFonts w:ascii="Verdana" w:hAnsi="Verdana"/>
                <w:sz w:val="20"/>
                <w:szCs w:val="20"/>
              </w:rPr>
              <w:t xml:space="preserve">, Medicaid: </w:t>
            </w:r>
            <w:r w:rsidRPr="00BF4C03">
              <w:rPr>
                <w:rFonts w:ascii="Verdana" w:hAnsi="Verdana"/>
                <w:color w:val="FF0000"/>
                <w:sz w:val="20"/>
                <w:szCs w:val="20"/>
              </w:rPr>
              <w:t>NF</w:t>
            </w:r>
            <w:r w:rsidRPr="00FC5B72">
              <w:rPr>
                <w:rFonts w:ascii="Verdana" w:hAnsi="Verdana"/>
                <w:sz w:val="20"/>
                <w:szCs w:val="20"/>
              </w:rPr>
              <w:t xml:space="preserve">, HIX: </w:t>
            </w:r>
            <w:r w:rsidRPr="00BF4C03">
              <w:rPr>
                <w:rFonts w:ascii="Verdana" w:hAnsi="Verdana"/>
                <w:color w:val="FF0000"/>
                <w:sz w:val="20"/>
                <w:szCs w:val="20"/>
              </w:rPr>
              <w:t>NF</w:t>
            </w:r>
          </w:p>
        </w:tc>
      </w:tr>
    </w:tbl>
    <w:p w14:paraId="1851FA68" w14:textId="77777777" w:rsidR="004971A5" w:rsidRPr="00852F8C" w:rsidRDefault="004971A5" w:rsidP="003628BE">
      <w:pPr>
        <w:rPr>
          <w:rFonts w:ascii="Verdana" w:eastAsia="Times New Roman" w:hAnsi="Verdana" w:cs="Arial"/>
          <w:sz w:val="20"/>
          <w:szCs w:val="20"/>
        </w:rPr>
      </w:pPr>
    </w:p>
    <w:tbl>
      <w:tblPr>
        <w:tblStyle w:val="LightList-Accent5"/>
        <w:tblW w:w="10885" w:type="dxa"/>
        <w:tblInd w:w="-95" w:type="dxa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ayout w:type="fixed"/>
        <w:tblLook w:val="04A0" w:firstRow="1" w:lastRow="0" w:firstColumn="1" w:lastColumn="0" w:noHBand="0" w:noVBand="1"/>
      </w:tblPr>
      <w:tblGrid>
        <w:gridCol w:w="10885"/>
      </w:tblGrid>
      <w:tr w:rsidR="00153FC2" w:rsidRPr="00852F8C" w14:paraId="05210A8E" w14:textId="77777777" w:rsidTr="00D901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5" w:type="dxa"/>
            <w:shd w:val="clear" w:color="auto" w:fill="00205B"/>
          </w:tcPr>
          <w:p w14:paraId="54B37F21" w14:textId="77777777" w:rsidR="00153FC2" w:rsidRPr="00852F8C" w:rsidRDefault="00153FC2" w:rsidP="005247AA">
            <w:pPr>
              <w:spacing w:after="240"/>
              <w:rPr>
                <w:rFonts w:ascii="Verdana" w:eastAsia="Times New Roman" w:hAnsi="Verdana" w:cs="Arial"/>
                <w:b w:val="0"/>
                <w:sz w:val="20"/>
                <w:szCs w:val="20"/>
              </w:rPr>
            </w:pPr>
            <w:r w:rsidRPr="00852F8C">
              <w:rPr>
                <w:rFonts w:ascii="Verdana" w:eastAsia="Times New Roman" w:hAnsi="Verdana" w:cs="Arial"/>
                <w:sz w:val="20"/>
                <w:szCs w:val="20"/>
              </w:rPr>
              <w:t xml:space="preserve">Miscellaneous Previously Reviewed Items </w:t>
            </w:r>
          </w:p>
        </w:tc>
      </w:tr>
    </w:tbl>
    <w:tbl>
      <w:tblPr>
        <w:tblStyle w:val="TableGrid"/>
        <w:tblW w:w="10890" w:type="dxa"/>
        <w:tblInd w:w="-95" w:type="dxa"/>
        <w:tblLook w:val="04A0" w:firstRow="1" w:lastRow="0" w:firstColumn="1" w:lastColumn="0" w:noHBand="0" w:noVBand="1"/>
      </w:tblPr>
      <w:tblGrid>
        <w:gridCol w:w="2875"/>
        <w:gridCol w:w="4073"/>
        <w:gridCol w:w="3942"/>
      </w:tblGrid>
      <w:tr w:rsidR="004F2F90" w:rsidRPr="00852F8C" w14:paraId="52551265" w14:textId="77777777" w:rsidTr="004471A0">
        <w:tc>
          <w:tcPr>
            <w:tcW w:w="2875" w:type="dxa"/>
          </w:tcPr>
          <w:p w14:paraId="4C5CCEB4" w14:textId="6DDE8298" w:rsidR="004F2F90" w:rsidRPr="00852F8C" w:rsidRDefault="004F2F90" w:rsidP="004F2F90">
            <w:pPr>
              <w:spacing w:after="240"/>
              <w:rPr>
                <w:rFonts w:ascii="Verdana" w:eastAsia="Times New Roman" w:hAnsi="Verdana" w:cs="Arial"/>
                <w:b/>
                <w:sz w:val="20"/>
                <w:szCs w:val="20"/>
              </w:rPr>
            </w:pPr>
            <w:r w:rsidRPr="00852F8C">
              <w:rPr>
                <w:rFonts w:ascii="Verdana" w:hAnsi="Verdana"/>
                <w:b/>
                <w:bCs/>
                <w:sz w:val="20"/>
                <w:szCs w:val="20"/>
              </w:rPr>
              <w:t xml:space="preserve">Drug </w:t>
            </w:r>
          </w:p>
        </w:tc>
        <w:tc>
          <w:tcPr>
            <w:tcW w:w="4073" w:type="dxa"/>
          </w:tcPr>
          <w:p w14:paraId="1F72BFB6" w14:textId="4A88C9B1" w:rsidR="004F2F90" w:rsidRPr="00852F8C" w:rsidRDefault="004F2F90" w:rsidP="004F2F90">
            <w:pPr>
              <w:spacing w:after="240"/>
              <w:rPr>
                <w:rFonts w:ascii="Verdana" w:eastAsia="Times New Roman" w:hAnsi="Verdana" w:cs="Arial"/>
                <w:b/>
                <w:sz w:val="20"/>
                <w:szCs w:val="20"/>
              </w:rPr>
            </w:pPr>
            <w:r w:rsidRPr="00852F8C">
              <w:rPr>
                <w:rFonts w:ascii="Verdana" w:hAnsi="Verdana"/>
                <w:b/>
                <w:bCs/>
                <w:sz w:val="20"/>
                <w:szCs w:val="20"/>
              </w:rPr>
              <w:t>Rationale/Alternative</w:t>
            </w:r>
          </w:p>
        </w:tc>
        <w:tc>
          <w:tcPr>
            <w:tcW w:w="3942" w:type="dxa"/>
          </w:tcPr>
          <w:p w14:paraId="10316750" w14:textId="4C2B2811" w:rsidR="004F2F90" w:rsidRPr="00852F8C" w:rsidRDefault="004F2F90" w:rsidP="004F2F90">
            <w:pPr>
              <w:spacing w:after="240"/>
              <w:rPr>
                <w:rFonts w:ascii="Verdana" w:eastAsia="Times New Roman" w:hAnsi="Verdana" w:cs="Arial"/>
                <w:b/>
                <w:sz w:val="20"/>
                <w:szCs w:val="20"/>
              </w:rPr>
            </w:pPr>
            <w:r w:rsidRPr="00852F8C">
              <w:rPr>
                <w:rFonts w:ascii="Verdana" w:hAnsi="Verdana"/>
                <w:b/>
                <w:bCs/>
                <w:sz w:val="20"/>
                <w:szCs w:val="20"/>
              </w:rPr>
              <w:t>Recommendation</w:t>
            </w:r>
          </w:p>
        </w:tc>
      </w:tr>
      <w:tr w:rsidR="005641F0" w:rsidRPr="00852F8C" w14:paraId="137DAD59" w14:textId="77777777" w:rsidTr="004471A0">
        <w:tc>
          <w:tcPr>
            <w:tcW w:w="2875" w:type="dxa"/>
            <w:shd w:val="clear" w:color="auto" w:fill="auto"/>
          </w:tcPr>
          <w:p w14:paraId="24AF9E96" w14:textId="4E79F2C0" w:rsidR="005641F0" w:rsidRPr="004265F7" w:rsidRDefault="005641F0" w:rsidP="005641F0">
            <w:pPr>
              <w:rPr>
                <w:rFonts w:ascii="Verdana" w:hAnsi="Verdana"/>
                <w:bCs/>
                <w:sz w:val="20"/>
                <w:szCs w:val="20"/>
                <w:highlight w:val="yellow"/>
              </w:rPr>
            </w:pPr>
            <w:bookmarkStart w:id="1" w:name="_Hlk93665752"/>
            <w:r w:rsidRPr="00A66B9D">
              <w:rPr>
                <w:rFonts w:ascii="Verdana" w:hAnsi="Verdana"/>
                <w:sz w:val="20"/>
                <w:szCs w:val="20"/>
              </w:rPr>
              <w:t xml:space="preserve">Prolia (denosumab) 60 mg/mL injection </w:t>
            </w:r>
          </w:p>
        </w:tc>
        <w:tc>
          <w:tcPr>
            <w:tcW w:w="4073" w:type="dxa"/>
            <w:shd w:val="clear" w:color="auto" w:fill="auto"/>
          </w:tcPr>
          <w:p w14:paraId="3762847F" w14:textId="77777777" w:rsidR="005641F0" w:rsidRPr="006F26F3" w:rsidRDefault="005641F0" w:rsidP="005641F0">
            <w:pPr>
              <w:pStyle w:val="ListParagraph"/>
              <w:numPr>
                <w:ilvl w:val="0"/>
                <w:numId w:val="28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6F26F3">
              <w:rPr>
                <w:rFonts w:ascii="Verdana" w:hAnsi="Verdana"/>
                <w:bCs/>
                <w:sz w:val="20"/>
                <w:szCs w:val="20"/>
              </w:rPr>
              <w:t>new boxed warning for severe hypocalcemia in those with advanced chronic kidney disease (CKD)</w:t>
            </w:r>
          </w:p>
          <w:p w14:paraId="26F519CA" w14:textId="77777777" w:rsidR="00B45AD9" w:rsidRDefault="005641F0" w:rsidP="005641F0">
            <w:pPr>
              <w:pStyle w:val="ListParagraph"/>
              <w:numPr>
                <w:ilvl w:val="0"/>
                <w:numId w:val="28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6F26F3">
              <w:rPr>
                <w:rFonts w:ascii="Verdana" w:hAnsi="Verdana"/>
                <w:bCs/>
                <w:sz w:val="20"/>
                <w:szCs w:val="20"/>
              </w:rPr>
              <w:t xml:space="preserve">Severe hypocalcemia resulting in hospitalization, life-threatening events and fatal cases have been </w:t>
            </w:r>
            <w:proofErr w:type="gramStart"/>
            <w:r w:rsidRPr="006F26F3">
              <w:rPr>
                <w:rFonts w:ascii="Verdana" w:hAnsi="Verdana"/>
                <w:bCs/>
                <w:sz w:val="20"/>
                <w:szCs w:val="20"/>
              </w:rPr>
              <w:t>reported</w:t>
            </w:r>
            <w:proofErr w:type="gramEnd"/>
          </w:p>
          <w:p w14:paraId="00639792" w14:textId="19492AA1" w:rsidR="005641F0" w:rsidRPr="00B45AD9" w:rsidRDefault="005641F0" w:rsidP="005641F0">
            <w:pPr>
              <w:pStyle w:val="ListParagraph"/>
              <w:numPr>
                <w:ilvl w:val="0"/>
                <w:numId w:val="28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B45AD9">
              <w:rPr>
                <w:rFonts w:ascii="Verdana" w:hAnsi="Verdana"/>
                <w:bCs/>
                <w:sz w:val="20"/>
                <w:szCs w:val="20"/>
              </w:rPr>
              <w:t>CKD-mineral bone disorder (CKD-MBD) markedly increases the risk of hypocalcemia</w:t>
            </w:r>
          </w:p>
        </w:tc>
        <w:tc>
          <w:tcPr>
            <w:tcW w:w="3942" w:type="dxa"/>
            <w:shd w:val="clear" w:color="auto" w:fill="auto"/>
          </w:tcPr>
          <w:p w14:paraId="07BA5C90" w14:textId="01C795C4" w:rsidR="005641F0" w:rsidRPr="00852F8C" w:rsidRDefault="005641F0" w:rsidP="005641F0">
            <w:pPr>
              <w:rPr>
                <w:rFonts w:ascii="Verdana" w:eastAsia="Times New Roman" w:hAnsi="Verdana" w:cs="Arial"/>
                <w:b/>
                <w:sz w:val="20"/>
                <w:szCs w:val="20"/>
              </w:rPr>
            </w:pPr>
            <w:r w:rsidRPr="00A66B9D">
              <w:rPr>
                <w:rFonts w:ascii="Verdana" w:hAnsi="Verdana"/>
                <w:sz w:val="20"/>
                <w:szCs w:val="20"/>
              </w:rPr>
              <w:t>Medicare: N</w:t>
            </w:r>
            <w:r>
              <w:rPr>
                <w:rFonts w:ascii="Verdana" w:hAnsi="Verdana"/>
                <w:sz w:val="20"/>
                <w:szCs w:val="20"/>
              </w:rPr>
              <w:t>F</w:t>
            </w:r>
            <w:r w:rsidRPr="00A66B9D">
              <w:rPr>
                <w:rFonts w:ascii="Verdana" w:hAnsi="Verdana"/>
                <w:sz w:val="20"/>
                <w:szCs w:val="20"/>
              </w:rPr>
              <w:t>, PPO: N</w:t>
            </w:r>
            <w:r>
              <w:rPr>
                <w:rFonts w:ascii="Verdana" w:hAnsi="Verdana"/>
                <w:sz w:val="20"/>
                <w:szCs w:val="20"/>
              </w:rPr>
              <w:t>F</w:t>
            </w:r>
            <w:r w:rsidRPr="00A66B9D">
              <w:rPr>
                <w:rFonts w:ascii="Verdana" w:hAnsi="Verdana"/>
                <w:sz w:val="20"/>
                <w:szCs w:val="20"/>
              </w:rPr>
              <w:t xml:space="preserve">, Medicaid: </w:t>
            </w:r>
            <w:r w:rsidRPr="00A66B9D">
              <w:rPr>
                <w:rFonts w:ascii="Verdana" w:hAnsi="Verdana"/>
                <w:color w:val="FF0000"/>
                <w:sz w:val="20"/>
                <w:szCs w:val="20"/>
              </w:rPr>
              <w:t>NP</w:t>
            </w:r>
            <w:r w:rsidRPr="00A66B9D">
              <w:rPr>
                <w:rFonts w:ascii="Verdana" w:hAnsi="Verdana"/>
                <w:sz w:val="20"/>
                <w:szCs w:val="20"/>
              </w:rPr>
              <w:t>, HIX: N</w:t>
            </w:r>
            <w:r>
              <w:rPr>
                <w:rFonts w:ascii="Verdana" w:hAnsi="Verdana"/>
                <w:sz w:val="20"/>
                <w:szCs w:val="20"/>
              </w:rPr>
              <w:t>F</w:t>
            </w:r>
          </w:p>
        </w:tc>
      </w:tr>
      <w:tr w:rsidR="005641F0" w:rsidRPr="00852F8C" w14:paraId="681BFD15" w14:textId="77777777" w:rsidTr="004471A0">
        <w:trPr>
          <w:trHeight w:val="305"/>
        </w:trPr>
        <w:tc>
          <w:tcPr>
            <w:tcW w:w="2875" w:type="dxa"/>
            <w:shd w:val="clear" w:color="auto" w:fill="auto"/>
          </w:tcPr>
          <w:p w14:paraId="576FF78D" w14:textId="60C92EE2" w:rsidR="005641F0" w:rsidRPr="004265F7" w:rsidRDefault="005641F0" w:rsidP="005641F0">
            <w:pPr>
              <w:rPr>
                <w:rFonts w:ascii="Verdana" w:hAnsi="Verdana"/>
                <w:bCs/>
                <w:sz w:val="20"/>
                <w:szCs w:val="20"/>
                <w:highlight w:val="yellow"/>
              </w:rPr>
            </w:pPr>
            <w:r w:rsidRPr="00A66B9D">
              <w:rPr>
                <w:rFonts w:ascii="Verdana" w:hAnsi="Verdana"/>
                <w:sz w:val="20"/>
                <w:szCs w:val="20"/>
              </w:rPr>
              <w:t>Paxlovid</w:t>
            </w:r>
          </w:p>
        </w:tc>
        <w:tc>
          <w:tcPr>
            <w:tcW w:w="4073" w:type="dxa"/>
            <w:shd w:val="clear" w:color="auto" w:fill="auto"/>
          </w:tcPr>
          <w:p w14:paraId="66B07DD0" w14:textId="1ED79DAC" w:rsidR="00B45AD9" w:rsidRPr="00E73EAC" w:rsidRDefault="005641F0" w:rsidP="00E73EAC">
            <w:pPr>
              <w:pStyle w:val="ListParagraph"/>
              <w:numPr>
                <w:ilvl w:val="0"/>
                <w:numId w:val="29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6F26F3">
              <w:rPr>
                <w:rFonts w:ascii="Verdana" w:hAnsi="Verdana"/>
                <w:bCs/>
                <w:sz w:val="20"/>
                <w:szCs w:val="20"/>
              </w:rPr>
              <w:t>FDA announced all Paxlovid (nirmatrelvir/ritonavir) labeled for emergency use authorization (EUA) will no longer be authorized for use after 3/8/24</w:t>
            </w:r>
            <w:r w:rsidR="00E73EAC">
              <w:rPr>
                <w:rFonts w:ascii="Verdana" w:hAnsi="Verdana"/>
                <w:bCs/>
                <w:sz w:val="20"/>
                <w:szCs w:val="20"/>
              </w:rPr>
              <w:t xml:space="preserve"> r</w:t>
            </w:r>
            <w:r w:rsidRPr="00E73EAC">
              <w:rPr>
                <w:rFonts w:ascii="Verdana" w:hAnsi="Verdana"/>
                <w:bCs/>
                <w:sz w:val="20"/>
                <w:szCs w:val="20"/>
              </w:rPr>
              <w:t xml:space="preserve">egardless of expiration </w:t>
            </w:r>
            <w:proofErr w:type="gramStart"/>
            <w:r w:rsidRPr="00E73EAC">
              <w:rPr>
                <w:rFonts w:ascii="Verdana" w:hAnsi="Verdana"/>
                <w:bCs/>
                <w:sz w:val="20"/>
                <w:szCs w:val="20"/>
              </w:rPr>
              <w:t>date</w:t>
            </w:r>
            <w:proofErr w:type="gramEnd"/>
            <w:r w:rsidRPr="00E73EAC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  <w:p w14:paraId="7D78D112" w14:textId="1CC257D6" w:rsidR="005641F0" w:rsidRPr="00B45AD9" w:rsidRDefault="005641F0" w:rsidP="005641F0">
            <w:pPr>
              <w:pStyle w:val="ListParagraph"/>
              <w:numPr>
                <w:ilvl w:val="0"/>
                <w:numId w:val="29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B45AD9">
              <w:rPr>
                <w:rFonts w:ascii="Verdana" w:hAnsi="Verdana"/>
                <w:bCs/>
                <w:sz w:val="20"/>
                <w:szCs w:val="20"/>
              </w:rPr>
              <w:t>The transition to commercialized, non-</w:t>
            </w:r>
            <w:r w:rsidRPr="00B45AD9">
              <w:rPr>
                <w:rFonts w:ascii="Verdana" w:hAnsi="Verdana"/>
                <w:bCs/>
                <w:sz w:val="20"/>
                <w:szCs w:val="20"/>
              </w:rPr>
              <w:lastRenderedPageBreak/>
              <w:t>government supplied product will be complete</w:t>
            </w:r>
          </w:p>
        </w:tc>
        <w:tc>
          <w:tcPr>
            <w:tcW w:w="3942" w:type="dxa"/>
            <w:shd w:val="clear" w:color="auto" w:fill="auto"/>
          </w:tcPr>
          <w:p w14:paraId="1EF996D4" w14:textId="4B5DA692" w:rsidR="005641F0" w:rsidRPr="00852F8C" w:rsidRDefault="005641F0" w:rsidP="005641F0">
            <w:pPr>
              <w:rPr>
                <w:rFonts w:ascii="Verdana" w:eastAsia="Times New Roman" w:hAnsi="Verdana" w:cs="Arial"/>
                <w:b/>
                <w:sz w:val="20"/>
                <w:szCs w:val="20"/>
              </w:rPr>
            </w:pPr>
            <w:r w:rsidRPr="00A66B9D">
              <w:rPr>
                <w:rFonts w:ascii="Verdana" w:hAnsi="Verdana"/>
                <w:sz w:val="20"/>
                <w:szCs w:val="20"/>
              </w:rPr>
              <w:lastRenderedPageBreak/>
              <w:t>F all lines of business</w:t>
            </w:r>
          </w:p>
        </w:tc>
      </w:tr>
      <w:tr w:rsidR="005641F0" w:rsidRPr="00852F8C" w14:paraId="541B6C63" w14:textId="77777777" w:rsidTr="004471A0">
        <w:trPr>
          <w:trHeight w:val="305"/>
        </w:trPr>
        <w:tc>
          <w:tcPr>
            <w:tcW w:w="2875" w:type="dxa"/>
            <w:shd w:val="clear" w:color="auto" w:fill="auto"/>
          </w:tcPr>
          <w:p w14:paraId="5E3EEF78" w14:textId="62CC0953" w:rsidR="005641F0" w:rsidRPr="004265F7" w:rsidRDefault="005641F0" w:rsidP="005641F0">
            <w:pPr>
              <w:rPr>
                <w:rFonts w:ascii="Verdana" w:hAnsi="Verdana"/>
                <w:bCs/>
                <w:sz w:val="20"/>
                <w:szCs w:val="20"/>
                <w:highlight w:val="yellow"/>
              </w:rPr>
            </w:pPr>
            <w:r w:rsidRPr="00A66B9D">
              <w:rPr>
                <w:rFonts w:ascii="Verdana" w:hAnsi="Verdana"/>
                <w:sz w:val="20"/>
                <w:szCs w:val="20"/>
              </w:rPr>
              <w:t xml:space="preserve">Novo Nordisk Levemir (insulin detemir) and </w:t>
            </w:r>
            <w:proofErr w:type="spellStart"/>
            <w:r w:rsidRPr="00A66B9D">
              <w:rPr>
                <w:rFonts w:ascii="Verdana" w:hAnsi="Verdana"/>
                <w:sz w:val="20"/>
                <w:szCs w:val="20"/>
              </w:rPr>
              <w:t>Glucagen</w:t>
            </w:r>
            <w:proofErr w:type="spellEnd"/>
            <w:r w:rsidRPr="00A66B9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A66B9D">
              <w:rPr>
                <w:rFonts w:ascii="Verdana" w:hAnsi="Verdana"/>
                <w:sz w:val="20"/>
                <w:szCs w:val="20"/>
              </w:rPr>
              <w:t>HypoKit</w:t>
            </w:r>
            <w:proofErr w:type="spellEnd"/>
            <w:r w:rsidRPr="00A66B9D">
              <w:rPr>
                <w:rFonts w:ascii="Verdana" w:hAnsi="Verdana"/>
                <w:sz w:val="20"/>
                <w:szCs w:val="20"/>
              </w:rPr>
              <w:t xml:space="preserve"> (glucagon) </w:t>
            </w:r>
          </w:p>
        </w:tc>
        <w:tc>
          <w:tcPr>
            <w:tcW w:w="4073" w:type="dxa"/>
            <w:shd w:val="clear" w:color="auto" w:fill="auto"/>
          </w:tcPr>
          <w:p w14:paraId="488EB0A2" w14:textId="77777777" w:rsidR="005641F0" w:rsidRPr="006F26F3" w:rsidRDefault="005641F0" w:rsidP="005641F0">
            <w:pPr>
              <w:pStyle w:val="ListParagraph"/>
              <w:numPr>
                <w:ilvl w:val="0"/>
                <w:numId w:val="30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6F26F3">
              <w:rPr>
                <w:rFonts w:ascii="Verdana" w:hAnsi="Verdana"/>
                <w:bCs/>
                <w:sz w:val="20"/>
                <w:szCs w:val="20"/>
              </w:rPr>
              <w:t xml:space="preserve">Novo Nordisk is discontinuing Levemir (insulin detemir) and </w:t>
            </w:r>
            <w:proofErr w:type="spellStart"/>
            <w:r w:rsidRPr="006F26F3">
              <w:rPr>
                <w:rFonts w:ascii="Verdana" w:hAnsi="Verdana"/>
                <w:bCs/>
                <w:sz w:val="20"/>
                <w:szCs w:val="20"/>
              </w:rPr>
              <w:t>GlucaGen</w:t>
            </w:r>
            <w:proofErr w:type="spellEnd"/>
            <w:r w:rsidRPr="006F26F3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6F26F3">
              <w:rPr>
                <w:rFonts w:ascii="Verdana" w:hAnsi="Verdana"/>
                <w:bCs/>
                <w:sz w:val="20"/>
                <w:szCs w:val="20"/>
              </w:rPr>
              <w:t>HypoKit</w:t>
            </w:r>
            <w:proofErr w:type="spellEnd"/>
            <w:r w:rsidRPr="006F26F3">
              <w:rPr>
                <w:rFonts w:ascii="Verdana" w:hAnsi="Verdana"/>
                <w:bCs/>
                <w:sz w:val="20"/>
                <w:szCs w:val="20"/>
              </w:rPr>
              <w:t xml:space="preserve"> (glucagon) </w:t>
            </w:r>
          </w:p>
          <w:p w14:paraId="251B1DE1" w14:textId="77777777" w:rsidR="005641F0" w:rsidRPr="006F26F3" w:rsidRDefault="005641F0" w:rsidP="005641F0">
            <w:pPr>
              <w:pStyle w:val="ListParagraph"/>
              <w:numPr>
                <w:ilvl w:val="0"/>
                <w:numId w:val="30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6F26F3">
              <w:rPr>
                <w:rFonts w:ascii="Verdana" w:hAnsi="Verdana"/>
                <w:bCs/>
                <w:sz w:val="20"/>
                <w:szCs w:val="20"/>
              </w:rPr>
              <w:t xml:space="preserve">Global manufacturing constraints, formulary losses impacting patient access, and availability of alternatives are cited for the product </w:t>
            </w:r>
            <w:proofErr w:type="gramStart"/>
            <w:r w:rsidRPr="006F26F3">
              <w:rPr>
                <w:rFonts w:ascii="Verdana" w:hAnsi="Verdana"/>
                <w:bCs/>
                <w:sz w:val="20"/>
                <w:szCs w:val="20"/>
              </w:rPr>
              <w:t>discontinuations</w:t>
            </w:r>
            <w:proofErr w:type="gramEnd"/>
            <w:r w:rsidRPr="006F26F3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  <w:p w14:paraId="084DE3DB" w14:textId="77777777" w:rsidR="00D44906" w:rsidRDefault="005641F0" w:rsidP="005641F0">
            <w:pPr>
              <w:pStyle w:val="ListParagraph"/>
              <w:numPr>
                <w:ilvl w:val="0"/>
                <w:numId w:val="30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6F26F3">
              <w:rPr>
                <w:rFonts w:ascii="Verdana" w:hAnsi="Verdana"/>
                <w:bCs/>
                <w:sz w:val="20"/>
                <w:szCs w:val="20"/>
              </w:rPr>
              <w:t xml:space="preserve">Levemir </w:t>
            </w:r>
            <w:proofErr w:type="spellStart"/>
            <w:r w:rsidRPr="006F26F3">
              <w:rPr>
                <w:rFonts w:ascii="Verdana" w:hAnsi="Verdana"/>
                <w:bCs/>
                <w:sz w:val="20"/>
                <w:szCs w:val="20"/>
              </w:rPr>
              <w:t>FlexPen</w:t>
            </w:r>
            <w:proofErr w:type="spellEnd"/>
            <w:r w:rsidRPr="006F26F3">
              <w:rPr>
                <w:rFonts w:ascii="Verdana" w:hAnsi="Verdana"/>
                <w:bCs/>
                <w:sz w:val="20"/>
                <w:szCs w:val="20"/>
              </w:rPr>
              <w:t xml:space="preserve"> will be discontinued on April 1, </w:t>
            </w:r>
            <w:proofErr w:type="gramStart"/>
            <w:r w:rsidRPr="006F26F3">
              <w:rPr>
                <w:rFonts w:ascii="Verdana" w:hAnsi="Verdana"/>
                <w:bCs/>
                <w:sz w:val="20"/>
                <w:szCs w:val="20"/>
              </w:rPr>
              <w:t>2024</w:t>
            </w:r>
            <w:proofErr w:type="gramEnd"/>
            <w:r w:rsidRPr="006F26F3">
              <w:rPr>
                <w:rFonts w:ascii="Verdana" w:hAnsi="Verdana"/>
                <w:bCs/>
                <w:sz w:val="20"/>
                <w:szCs w:val="20"/>
              </w:rPr>
              <w:t xml:space="preserve"> and the 10 mL vial will be discontinued on December 31, 2024, although supply disruptions may occur earlier</w:t>
            </w:r>
          </w:p>
          <w:p w14:paraId="2F75AE5A" w14:textId="262F86AA" w:rsidR="005641F0" w:rsidRPr="00D44906" w:rsidRDefault="005641F0" w:rsidP="005641F0">
            <w:pPr>
              <w:pStyle w:val="ListParagraph"/>
              <w:numPr>
                <w:ilvl w:val="0"/>
                <w:numId w:val="30"/>
              </w:numPr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D44906">
              <w:rPr>
                <w:rFonts w:ascii="Verdana" w:hAnsi="Verdana"/>
                <w:bCs/>
                <w:sz w:val="20"/>
                <w:szCs w:val="20"/>
              </w:rPr>
              <w:t>GlucaGen</w:t>
            </w:r>
            <w:proofErr w:type="spellEnd"/>
            <w:r w:rsidRPr="00D44906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D44906">
              <w:rPr>
                <w:rFonts w:ascii="Verdana" w:hAnsi="Verdana"/>
                <w:bCs/>
                <w:sz w:val="20"/>
                <w:szCs w:val="20"/>
              </w:rPr>
              <w:t>HypoKit</w:t>
            </w:r>
            <w:proofErr w:type="spellEnd"/>
            <w:r w:rsidRPr="00D44906">
              <w:rPr>
                <w:rFonts w:ascii="Verdana" w:hAnsi="Verdana"/>
                <w:bCs/>
                <w:sz w:val="20"/>
                <w:szCs w:val="20"/>
              </w:rPr>
              <w:t xml:space="preserve"> will be discontinued on July 1, 2024</w:t>
            </w:r>
          </w:p>
        </w:tc>
        <w:tc>
          <w:tcPr>
            <w:tcW w:w="3942" w:type="dxa"/>
            <w:shd w:val="clear" w:color="auto" w:fill="auto"/>
          </w:tcPr>
          <w:p w14:paraId="0718FABF" w14:textId="77777777" w:rsidR="005641F0" w:rsidRDefault="005641F0" w:rsidP="005641F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Levemir - </w:t>
            </w:r>
            <w:r w:rsidRPr="00A66B9D">
              <w:rPr>
                <w:rFonts w:ascii="Verdana" w:hAnsi="Verdana"/>
                <w:sz w:val="20"/>
                <w:szCs w:val="20"/>
              </w:rPr>
              <w:t>Medicare: N</w:t>
            </w:r>
            <w:r>
              <w:rPr>
                <w:rFonts w:ascii="Verdana" w:hAnsi="Verdana"/>
                <w:sz w:val="20"/>
                <w:szCs w:val="20"/>
              </w:rPr>
              <w:t>F</w:t>
            </w:r>
            <w:r w:rsidRPr="00A66B9D">
              <w:rPr>
                <w:rFonts w:ascii="Verdana" w:hAnsi="Verdana"/>
                <w:sz w:val="20"/>
                <w:szCs w:val="20"/>
              </w:rPr>
              <w:t>, PPO: N</w:t>
            </w:r>
            <w:r>
              <w:rPr>
                <w:rFonts w:ascii="Verdana" w:hAnsi="Verdana"/>
                <w:sz w:val="20"/>
                <w:szCs w:val="20"/>
              </w:rPr>
              <w:t>F</w:t>
            </w:r>
            <w:r w:rsidRPr="00A66B9D">
              <w:rPr>
                <w:rFonts w:ascii="Verdana" w:hAnsi="Verdana"/>
                <w:sz w:val="20"/>
                <w:szCs w:val="20"/>
              </w:rPr>
              <w:t xml:space="preserve">, Medicaid: </w:t>
            </w:r>
            <w:r>
              <w:rPr>
                <w:rFonts w:ascii="Verdana" w:hAnsi="Verdana"/>
                <w:sz w:val="20"/>
                <w:szCs w:val="20"/>
              </w:rPr>
              <w:t>F</w:t>
            </w:r>
            <w:r w:rsidRPr="00A66B9D">
              <w:rPr>
                <w:rFonts w:ascii="Verdana" w:hAnsi="Verdana"/>
                <w:sz w:val="20"/>
                <w:szCs w:val="20"/>
              </w:rPr>
              <w:t>, HIX: N</w:t>
            </w:r>
            <w:r>
              <w:rPr>
                <w:rFonts w:ascii="Verdana" w:hAnsi="Verdana"/>
                <w:sz w:val="20"/>
                <w:szCs w:val="20"/>
              </w:rPr>
              <w:t>F</w:t>
            </w:r>
          </w:p>
          <w:p w14:paraId="50AE91C7" w14:textId="64583725" w:rsidR="005641F0" w:rsidRPr="00852F8C" w:rsidRDefault="005641F0" w:rsidP="005641F0">
            <w:pPr>
              <w:rPr>
                <w:rFonts w:ascii="Verdana" w:eastAsia="Times New Roman" w:hAnsi="Verdana" w:cs="Arial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Glucagen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HypoKit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 </w:t>
            </w:r>
            <w:r w:rsidRPr="00A66B9D">
              <w:rPr>
                <w:rFonts w:ascii="Verdana" w:hAnsi="Verdana"/>
                <w:sz w:val="20"/>
                <w:szCs w:val="20"/>
              </w:rPr>
              <w:t>Medicare: N</w:t>
            </w:r>
            <w:r>
              <w:rPr>
                <w:rFonts w:ascii="Verdana" w:hAnsi="Verdana"/>
                <w:sz w:val="20"/>
                <w:szCs w:val="20"/>
              </w:rPr>
              <w:t>F</w:t>
            </w:r>
            <w:r w:rsidRPr="00A66B9D">
              <w:rPr>
                <w:rFonts w:ascii="Verdana" w:hAnsi="Verdana"/>
                <w:sz w:val="20"/>
                <w:szCs w:val="20"/>
              </w:rPr>
              <w:t>, PPO: N</w:t>
            </w:r>
            <w:r>
              <w:rPr>
                <w:rFonts w:ascii="Verdana" w:hAnsi="Verdana"/>
                <w:sz w:val="20"/>
                <w:szCs w:val="20"/>
              </w:rPr>
              <w:t>F</w:t>
            </w:r>
            <w:r w:rsidRPr="00A66B9D">
              <w:rPr>
                <w:rFonts w:ascii="Verdana" w:hAnsi="Verdana"/>
                <w:sz w:val="20"/>
                <w:szCs w:val="20"/>
              </w:rPr>
              <w:t xml:space="preserve">, Medicaid: </w:t>
            </w:r>
            <w:r>
              <w:rPr>
                <w:rFonts w:ascii="Verdana" w:hAnsi="Verdana"/>
                <w:sz w:val="20"/>
                <w:szCs w:val="20"/>
              </w:rPr>
              <w:t>F</w:t>
            </w:r>
            <w:r w:rsidRPr="00A66B9D">
              <w:rPr>
                <w:rFonts w:ascii="Verdana" w:hAnsi="Verdana"/>
                <w:sz w:val="20"/>
                <w:szCs w:val="20"/>
              </w:rPr>
              <w:t>, HIX: N</w:t>
            </w:r>
            <w:r>
              <w:rPr>
                <w:rFonts w:ascii="Verdana" w:hAnsi="Verdana"/>
                <w:sz w:val="20"/>
                <w:szCs w:val="20"/>
              </w:rPr>
              <w:t>F</w:t>
            </w:r>
          </w:p>
        </w:tc>
      </w:tr>
    </w:tbl>
    <w:p w14:paraId="1D317A5C" w14:textId="77777777" w:rsidR="00296E12" w:rsidRPr="00852F8C" w:rsidRDefault="00296E12" w:rsidP="00E32DDA">
      <w:pPr>
        <w:rPr>
          <w:rFonts w:ascii="Verdana" w:eastAsia="Times New Roman" w:hAnsi="Verdana" w:cs="Arial"/>
          <w:b/>
          <w:sz w:val="20"/>
          <w:szCs w:val="20"/>
        </w:rPr>
      </w:pPr>
      <w:bookmarkStart w:id="2" w:name="_Hlk65757423"/>
      <w:bookmarkEnd w:id="1"/>
    </w:p>
    <w:tbl>
      <w:tblPr>
        <w:tblStyle w:val="LightList-Accent5"/>
        <w:tblW w:w="10890" w:type="dxa"/>
        <w:tblInd w:w="-95" w:type="dxa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ayout w:type="fixed"/>
        <w:tblLook w:val="04A0" w:firstRow="1" w:lastRow="0" w:firstColumn="1" w:lastColumn="0" w:noHBand="0" w:noVBand="1"/>
      </w:tblPr>
      <w:tblGrid>
        <w:gridCol w:w="10890"/>
      </w:tblGrid>
      <w:tr w:rsidR="000A6E31" w:rsidRPr="00852F8C" w14:paraId="5A3864ED" w14:textId="77777777" w:rsidTr="004416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0" w:type="dxa"/>
            <w:shd w:val="clear" w:color="auto" w:fill="00205B"/>
          </w:tcPr>
          <w:bookmarkEnd w:id="2"/>
          <w:p w14:paraId="661BF950" w14:textId="77777777" w:rsidR="000A6E31" w:rsidRPr="00852F8C" w:rsidRDefault="000A6E31" w:rsidP="005247AA">
            <w:pPr>
              <w:spacing w:after="240"/>
              <w:rPr>
                <w:rFonts w:ascii="Verdana" w:eastAsia="Times New Roman" w:hAnsi="Verdana" w:cs="Arial"/>
                <w:b w:val="0"/>
                <w:sz w:val="20"/>
                <w:szCs w:val="20"/>
              </w:rPr>
            </w:pPr>
            <w:r w:rsidRPr="00852F8C">
              <w:rPr>
                <w:rFonts w:ascii="Verdana" w:eastAsia="Times New Roman" w:hAnsi="Verdana" w:cs="Arial"/>
                <w:sz w:val="20"/>
                <w:szCs w:val="20"/>
              </w:rPr>
              <w:t xml:space="preserve">Additional Items Reviewed </w:t>
            </w:r>
          </w:p>
        </w:tc>
      </w:tr>
    </w:tbl>
    <w:tbl>
      <w:tblPr>
        <w:tblStyle w:val="TableGrid"/>
        <w:tblW w:w="10890" w:type="dxa"/>
        <w:tblInd w:w="-95" w:type="dxa"/>
        <w:tblLook w:val="04A0" w:firstRow="1" w:lastRow="0" w:firstColumn="1" w:lastColumn="0" w:noHBand="0" w:noVBand="1"/>
      </w:tblPr>
      <w:tblGrid>
        <w:gridCol w:w="2520"/>
        <w:gridCol w:w="8370"/>
      </w:tblGrid>
      <w:tr w:rsidR="000A6E31" w:rsidRPr="00852F8C" w14:paraId="4588D2D6" w14:textId="77777777" w:rsidTr="001C0339">
        <w:tc>
          <w:tcPr>
            <w:tcW w:w="2520" w:type="dxa"/>
          </w:tcPr>
          <w:p w14:paraId="4084C365" w14:textId="77777777" w:rsidR="000A6E31" w:rsidRPr="00852F8C" w:rsidRDefault="000A6E31" w:rsidP="005247AA">
            <w:pPr>
              <w:spacing w:after="240"/>
              <w:rPr>
                <w:rFonts w:ascii="Verdana" w:eastAsia="Times New Roman" w:hAnsi="Verdana" w:cs="Arial"/>
                <w:b/>
                <w:sz w:val="20"/>
                <w:szCs w:val="20"/>
              </w:rPr>
            </w:pPr>
            <w:r w:rsidRPr="00852F8C">
              <w:rPr>
                <w:rFonts w:ascii="Verdana" w:hAnsi="Verdana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8370" w:type="dxa"/>
          </w:tcPr>
          <w:p w14:paraId="4048D7BA" w14:textId="1A200632" w:rsidR="000A6E31" w:rsidRPr="00852F8C" w:rsidRDefault="00822707" w:rsidP="005247AA">
            <w:pPr>
              <w:spacing w:after="24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Drugs with New Policies</w:t>
            </w:r>
          </w:p>
        </w:tc>
      </w:tr>
      <w:tr w:rsidR="00822707" w:rsidRPr="00852F8C" w14:paraId="689CEF80" w14:textId="77777777" w:rsidTr="00347888">
        <w:trPr>
          <w:trHeight w:val="377"/>
        </w:trPr>
        <w:tc>
          <w:tcPr>
            <w:tcW w:w="2520" w:type="dxa"/>
          </w:tcPr>
          <w:p w14:paraId="166089E0" w14:textId="48B37463" w:rsidR="00822707" w:rsidRPr="00852F8C" w:rsidRDefault="00822707" w:rsidP="00822707">
            <w:pPr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852F8C">
              <w:rPr>
                <w:rFonts w:ascii="Verdana" w:hAnsi="Verdana" w:cs="Times New Roman"/>
                <w:bCs/>
                <w:sz w:val="20"/>
                <w:szCs w:val="20"/>
              </w:rPr>
              <w:t>New Medical Drug Policies</w:t>
            </w:r>
            <w:r>
              <w:rPr>
                <w:rFonts w:ascii="Verdana" w:hAnsi="Verdana" w:cs="Times New Roman"/>
                <w:bCs/>
                <w:sz w:val="20"/>
                <w:szCs w:val="20"/>
              </w:rPr>
              <w:t xml:space="preserve"> </w:t>
            </w:r>
            <w:r w:rsidRPr="00296EF6">
              <w:rPr>
                <w:rFonts w:ascii="Verdana" w:hAnsi="Verdana" w:cs="Times New Roman"/>
                <w:bCs/>
                <w:sz w:val="20"/>
                <w:szCs w:val="20"/>
              </w:rPr>
              <w:t xml:space="preserve">(effective </w:t>
            </w:r>
            <w:r w:rsidRPr="000D21C7">
              <w:rPr>
                <w:rFonts w:ascii="Verdana" w:hAnsi="Verdana" w:cs="Times New Roman"/>
                <w:bCs/>
                <w:sz w:val="20"/>
                <w:szCs w:val="20"/>
              </w:rPr>
              <w:t>0</w:t>
            </w:r>
            <w:r w:rsidR="000D21C7" w:rsidRPr="000D21C7">
              <w:rPr>
                <w:rFonts w:ascii="Verdana" w:hAnsi="Verdana" w:cs="Times New Roman"/>
                <w:bCs/>
                <w:sz w:val="20"/>
                <w:szCs w:val="20"/>
              </w:rPr>
              <w:t>5</w:t>
            </w:r>
            <w:r w:rsidRPr="000D21C7">
              <w:rPr>
                <w:rFonts w:ascii="Verdana" w:hAnsi="Verdana" w:cs="Times New Roman"/>
                <w:bCs/>
                <w:sz w:val="20"/>
                <w:szCs w:val="20"/>
              </w:rPr>
              <w:t>/</w:t>
            </w:r>
            <w:r w:rsidR="00AB7540" w:rsidRPr="000D21C7">
              <w:rPr>
                <w:rFonts w:ascii="Verdana" w:hAnsi="Verdana" w:cs="Times New Roman"/>
                <w:bCs/>
                <w:sz w:val="20"/>
                <w:szCs w:val="20"/>
              </w:rPr>
              <w:t>15</w:t>
            </w:r>
            <w:r w:rsidRPr="000D21C7">
              <w:rPr>
                <w:rFonts w:ascii="Verdana" w:hAnsi="Verdana" w:cs="Times New Roman"/>
                <w:bCs/>
                <w:sz w:val="20"/>
                <w:szCs w:val="20"/>
              </w:rPr>
              <w:t>/2024</w:t>
            </w:r>
            <w:r w:rsidRPr="00296EF6">
              <w:rPr>
                <w:rFonts w:ascii="Verdana" w:hAnsi="Verdana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8370" w:type="dxa"/>
          </w:tcPr>
          <w:p w14:paraId="4467DF6B" w14:textId="49842E06" w:rsidR="00822707" w:rsidRDefault="005641F0" w:rsidP="00AB7540">
            <w:pPr>
              <w:pStyle w:val="ListParagraph"/>
              <w:numPr>
                <w:ilvl w:val="0"/>
                <w:numId w:val="27"/>
              </w:numPr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Wainua</w:t>
            </w:r>
            <w:proofErr w:type="spellEnd"/>
          </w:p>
          <w:p w14:paraId="0E0B7630" w14:textId="7BEFBAD9" w:rsidR="00AB7540" w:rsidRDefault="005641F0" w:rsidP="00AB7540">
            <w:pPr>
              <w:pStyle w:val="ListParagraph"/>
              <w:numPr>
                <w:ilvl w:val="0"/>
                <w:numId w:val="27"/>
              </w:numPr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Lyfgenia</w:t>
            </w:r>
            <w:proofErr w:type="spellEnd"/>
          </w:p>
          <w:p w14:paraId="2CD5DC6D" w14:textId="133BE84D" w:rsidR="00AB7540" w:rsidRDefault="005641F0" w:rsidP="00AB7540">
            <w:pPr>
              <w:pStyle w:val="ListParagraph"/>
              <w:numPr>
                <w:ilvl w:val="0"/>
                <w:numId w:val="27"/>
              </w:numPr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Casgevy</w:t>
            </w:r>
            <w:proofErr w:type="spellEnd"/>
          </w:p>
          <w:p w14:paraId="17787EDF" w14:textId="6ABB57B2" w:rsidR="00AB7540" w:rsidRDefault="005641F0" w:rsidP="00AB7540">
            <w:pPr>
              <w:pStyle w:val="ListParagraph"/>
              <w:numPr>
                <w:ilvl w:val="0"/>
                <w:numId w:val="27"/>
              </w:numPr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Amtagvi</w:t>
            </w:r>
            <w:proofErr w:type="spellEnd"/>
          </w:p>
          <w:p w14:paraId="1096147E" w14:textId="2625151D" w:rsidR="00AB7540" w:rsidRPr="005641F0" w:rsidRDefault="005641F0" w:rsidP="005641F0">
            <w:pPr>
              <w:pStyle w:val="ListParagraph"/>
              <w:numPr>
                <w:ilvl w:val="0"/>
                <w:numId w:val="27"/>
              </w:numPr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iDose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TR</w:t>
            </w:r>
          </w:p>
        </w:tc>
      </w:tr>
    </w:tbl>
    <w:p w14:paraId="4396F646" w14:textId="77777777" w:rsidR="004A4967" w:rsidRPr="0008291B" w:rsidRDefault="004A4967" w:rsidP="004A4967">
      <w:pPr>
        <w:rPr>
          <w:rFonts w:ascii="Verdana" w:eastAsia="Times New Roman" w:hAnsi="Verdana" w:cs="Arial"/>
          <w:sz w:val="20"/>
          <w:szCs w:val="20"/>
        </w:rPr>
      </w:pPr>
    </w:p>
    <w:sectPr w:rsidR="004A4967" w:rsidRPr="0008291B" w:rsidSect="00E70EBB">
      <w:headerReference w:type="default" r:id="rId8"/>
      <w:footerReference w:type="default" r:id="rId9"/>
      <w:type w:val="continuous"/>
      <w:pgSz w:w="12240" w:h="15840"/>
      <w:pgMar w:top="720" w:right="720" w:bottom="720" w:left="720" w:header="720" w:footer="70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46F1D" w14:textId="77777777" w:rsidR="001E0B7A" w:rsidRDefault="001E0B7A">
      <w:r>
        <w:separator/>
      </w:r>
    </w:p>
  </w:endnote>
  <w:endnote w:type="continuationSeparator" w:id="0">
    <w:p w14:paraId="00004FC0" w14:textId="77777777" w:rsidR="001E0B7A" w:rsidRDefault="001E0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79736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19AB9F" w14:textId="223CE295" w:rsidR="00E24624" w:rsidRDefault="00E2462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6F77D4" w14:textId="44197675" w:rsidR="003F1B83" w:rsidRPr="00E24624" w:rsidRDefault="003F1B83" w:rsidP="00E246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E04DA" w14:textId="77777777" w:rsidR="001E0B7A" w:rsidRDefault="001E0B7A">
      <w:r>
        <w:separator/>
      </w:r>
    </w:p>
  </w:footnote>
  <w:footnote w:type="continuationSeparator" w:id="0">
    <w:p w14:paraId="48C996A1" w14:textId="77777777" w:rsidR="001E0B7A" w:rsidRDefault="001E0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B51D4" w14:textId="19B38D68" w:rsidR="003F1B83" w:rsidRDefault="003F1B83" w:rsidP="007813ED">
    <w:pPr>
      <w:spacing w:before="24"/>
      <w:ind w:right="-20"/>
      <w:jc w:val="center"/>
      <w:rPr>
        <w:rFonts w:ascii="Verdana" w:hAnsi="Verdana"/>
        <w:b/>
        <w:noProof/>
        <w:sz w:val="28"/>
        <w:szCs w:val="28"/>
      </w:rPr>
    </w:pPr>
    <w:r w:rsidRPr="007813ED">
      <w:rPr>
        <w:rFonts w:ascii="Verdana" w:hAnsi="Verdana"/>
        <w:i/>
        <w:iCs/>
        <w:noProof/>
        <w:color w:val="1F497D"/>
        <w:sz w:val="28"/>
        <w:szCs w:val="28"/>
      </w:rPr>
      <w:drawing>
        <wp:anchor distT="0" distB="0" distL="114300" distR="114300" simplePos="0" relativeHeight="251659264" behindDoc="0" locked="0" layoutInCell="1" allowOverlap="1" wp14:anchorId="435F0FDD" wp14:editId="4F530742">
          <wp:simplePos x="0" y="0"/>
          <wp:positionH relativeFrom="margin">
            <wp:posOffset>-352425</wp:posOffset>
          </wp:positionH>
          <wp:positionV relativeFrom="paragraph">
            <wp:posOffset>-336550</wp:posOffset>
          </wp:positionV>
          <wp:extent cx="1914525" cy="400050"/>
          <wp:effectExtent l="0" t="0" r="9525" b="0"/>
          <wp:wrapNone/>
          <wp:docPr id="1" name="Picture 1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95AC958" w14:textId="633C309B" w:rsidR="003F1B83" w:rsidRPr="00C06728" w:rsidRDefault="005641F0" w:rsidP="00080E04">
    <w:pPr>
      <w:spacing w:before="24"/>
      <w:ind w:right="-20"/>
      <w:jc w:val="center"/>
      <w:rPr>
        <w:rFonts w:ascii="Verdana" w:hAnsi="Verdana"/>
        <w:b/>
        <w:noProof/>
        <w:sz w:val="24"/>
        <w:szCs w:val="24"/>
      </w:rPr>
    </w:pPr>
    <w:r>
      <w:rPr>
        <w:rFonts w:ascii="Verdana" w:hAnsi="Verdana"/>
        <w:b/>
        <w:noProof/>
        <w:sz w:val="24"/>
        <w:szCs w:val="24"/>
      </w:rPr>
      <w:t>March</w:t>
    </w:r>
    <w:r w:rsidR="00455328">
      <w:rPr>
        <w:rFonts w:ascii="Verdana" w:hAnsi="Verdana"/>
        <w:b/>
        <w:noProof/>
        <w:sz w:val="24"/>
        <w:szCs w:val="24"/>
      </w:rPr>
      <w:t xml:space="preserve"> 202</w:t>
    </w:r>
    <w:r w:rsidR="007F3F30">
      <w:rPr>
        <w:rFonts w:ascii="Verdana" w:hAnsi="Verdana"/>
        <w:b/>
        <w:noProof/>
        <w:sz w:val="24"/>
        <w:szCs w:val="24"/>
      </w:rPr>
      <w:t>4</w:t>
    </w:r>
    <w:r w:rsidR="003F1B83" w:rsidRPr="00C06728">
      <w:rPr>
        <w:rFonts w:ascii="Verdana" w:eastAsia="Times New Roman" w:hAnsi="Verdana" w:cs="Times New Roman"/>
        <w:b/>
        <w:bCs/>
        <w:spacing w:val="-1"/>
        <w:sz w:val="24"/>
        <w:szCs w:val="24"/>
      </w:rPr>
      <w:t xml:space="preserve"> Pharmacy &amp; </w:t>
    </w:r>
    <w:r w:rsidR="003F1B83" w:rsidRPr="00C06728">
      <w:rPr>
        <w:rFonts w:ascii="Verdana" w:eastAsia="Times New Roman" w:hAnsi="Verdana" w:cs="Times New Roman"/>
        <w:b/>
        <w:bCs/>
        <w:sz w:val="24"/>
        <w:szCs w:val="24"/>
      </w:rPr>
      <w:t>Therapeutics</w:t>
    </w:r>
  </w:p>
  <w:p w14:paraId="3AEB01D9" w14:textId="19FDB444" w:rsidR="003F1B83" w:rsidRDefault="003F1B83" w:rsidP="007813ED">
    <w:pPr>
      <w:spacing w:before="24"/>
      <w:ind w:right="-20"/>
      <w:jc w:val="center"/>
      <w:rPr>
        <w:rFonts w:ascii="Verdana" w:eastAsia="Times New Roman" w:hAnsi="Verdana" w:cs="Times New Roman"/>
        <w:b/>
        <w:bCs/>
        <w:sz w:val="24"/>
        <w:szCs w:val="24"/>
      </w:rPr>
    </w:pPr>
    <w:r w:rsidRPr="00C06728">
      <w:rPr>
        <w:rFonts w:ascii="Verdana" w:eastAsia="Times New Roman" w:hAnsi="Verdana" w:cs="Times New Roman"/>
        <w:b/>
        <w:bCs/>
        <w:spacing w:val="-2"/>
        <w:sz w:val="24"/>
        <w:szCs w:val="24"/>
      </w:rPr>
      <w:t>C</w:t>
    </w:r>
    <w:r w:rsidRPr="00C06728">
      <w:rPr>
        <w:rFonts w:ascii="Verdana" w:eastAsia="Times New Roman" w:hAnsi="Verdana" w:cs="Times New Roman"/>
        <w:b/>
        <w:bCs/>
        <w:spacing w:val="2"/>
        <w:sz w:val="24"/>
        <w:szCs w:val="24"/>
      </w:rPr>
      <w:t>o</w:t>
    </w:r>
    <w:r w:rsidRPr="00C06728">
      <w:rPr>
        <w:rFonts w:ascii="Verdana" w:eastAsia="Times New Roman" w:hAnsi="Verdana" w:cs="Times New Roman"/>
        <w:b/>
        <w:bCs/>
        <w:spacing w:val="-1"/>
        <w:sz w:val="24"/>
        <w:szCs w:val="24"/>
      </w:rPr>
      <w:t>m</w:t>
    </w:r>
    <w:r w:rsidRPr="00C06728">
      <w:rPr>
        <w:rFonts w:ascii="Verdana" w:eastAsia="Times New Roman" w:hAnsi="Verdana" w:cs="Times New Roman"/>
        <w:b/>
        <w:bCs/>
        <w:spacing w:val="-3"/>
        <w:sz w:val="24"/>
        <w:szCs w:val="24"/>
      </w:rPr>
      <w:t>m</w:t>
    </w:r>
    <w:r w:rsidRPr="00C06728">
      <w:rPr>
        <w:rFonts w:ascii="Verdana" w:eastAsia="Times New Roman" w:hAnsi="Verdana" w:cs="Times New Roman"/>
        <w:b/>
        <w:bCs/>
        <w:spacing w:val="1"/>
        <w:sz w:val="24"/>
        <w:szCs w:val="24"/>
      </w:rPr>
      <w:t>i</w:t>
    </w:r>
    <w:r w:rsidRPr="00C06728">
      <w:rPr>
        <w:rFonts w:ascii="Verdana" w:eastAsia="Times New Roman" w:hAnsi="Verdana" w:cs="Times New Roman"/>
        <w:b/>
        <w:bCs/>
        <w:sz w:val="24"/>
        <w:szCs w:val="24"/>
      </w:rPr>
      <w:t xml:space="preserve">ttee </w:t>
    </w:r>
    <w:r w:rsidRPr="00C06728">
      <w:rPr>
        <w:rFonts w:ascii="Verdana" w:eastAsia="Times New Roman" w:hAnsi="Verdana" w:cs="Times New Roman"/>
        <w:b/>
        <w:bCs/>
        <w:spacing w:val="-1"/>
        <w:sz w:val="24"/>
        <w:szCs w:val="24"/>
      </w:rPr>
      <w:t>D</w:t>
    </w:r>
    <w:r w:rsidRPr="00C06728">
      <w:rPr>
        <w:rFonts w:ascii="Verdana" w:eastAsia="Times New Roman" w:hAnsi="Verdana" w:cs="Times New Roman"/>
        <w:b/>
        <w:bCs/>
        <w:sz w:val="24"/>
        <w:szCs w:val="24"/>
      </w:rPr>
      <w:t>ec</w:t>
    </w:r>
    <w:r w:rsidRPr="00C06728">
      <w:rPr>
        <w:rFonts w:ascii="Verdana" w:eastAsia="Times New Roman" w:hAnsi="Verdana" w:cs="Times New Roman"/>
        <w:b/>
        <w:bCs/>
        <w:spacing w:val="-1"/>
        <w:sz w:val="24"/>
        <w:szCs w:val="24"/>
      </w:rPr>
      <w:t>i</w:t>
    </w:r>
    <w:r w:rsidRPr="00C06728">
      <w:rPr>
        <w:rFonts w:ascii="Verdana" w:eastAsia="Times New Roman" w:hAnsi="Verdana" w:cs="Times New Roman"/>
        <w:b/>
        <w:bCs/>
        <w:spacing w:val="1"/>
        <w:sz w:val="24"/>
        <w:szCs w:val="24"/>
      </w:rPr>
      <w:t>s</w:t>
    </w:r>
    <w:r w:rsidRPr="00C06728">
      <w:rPr>
        <w:rFonts w:ascii="Verdana" w:eastAsia="Times New Roman" w:hAnsi="Verdana" w:cs="Times New Roman"/>
        <w:b/>
        <w:bCs/>
        <w:spacing w:val="-1"/>
        <w:sz w:val="24"/>
        <w:szCs w:val="24"/>
      </w:rPr>
      <w:t>i</w:t>
    </w:r>
    <w:r w:rsidRPr="00C06728">
      <w:rPr>
        <w:rFonts w:ascii="Verdana" w:eastAsia="Times New Roman" w:hAnsi="Verdana" w:cs="Times New Roman"/>
        <w:b/>
        <w:bCs/>
        <w:spacing w:val="1"/>
        <w:sz w:val="24"/>
        <w:szCs w:val="24"/>
      </w:rPr>
      <w:t>o</w:t>
    </w:r>
    <w:r w:rsidRPr="00C06728">
      <w:rPr>
        <w:rFonts w:ascii="Verdana" w:eastAsia="Times New Roman" w:hAnsi="Verdana" w:cs="Times New Roman"/>
        <w:b/>
        <w:bCs/>
        <w:spacing w:val="-3"/>
        <w:sz w:val="24"/>
        <w:szCs w:val="24"/>
      </w:rPr>
      <w:t>n</w:t>
    </w:r>
    <w:r w:rsidRPr="00C06728">
      <w:rPr>
        <w:rFonts w:ascii="Verdana" w:eastAsia="Times New Roman" w:hAnsi="Verdana" w:cs="Times New Roman"/>
        <w:b/>
        <w:bCs/>
        <w:sz w:val="24"/>
        <w:szCs w:val="24"/>
      </w:rPr>
      <w:t>s</w:t>
    </w:r>
  </w:p>
  <w:p w14:paraId="34F965A0" w14:textId="77777777" w:rsidR="005D7E74" w:rsidRDefault="005D7E74" w:rsidP="007813ED">
    <w:pPr>
      <w:spacing w:before="24"/>
      <w:ind w:right="-20"/>
      <w:jc w:val="center"/>
      <w:rPr>
        <w:rFonts w:ascii="Verdana" w:eastAsia="Times New Roman" w:hAnsi="Verdana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C41C6"/>
    <w:multiLevelType w:val="hybridMultilevel"/>
    <w:tmpl w:val="F6408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032EC"/>
    <w:multiLevelType w:val="hybridMultilevel"/>
    <w:tmpl w:val="68F85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35D38"/>
    <w:multiLevelType w:val="hybridMultilevel"/>
    <w:tmpl w:val="26865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D6A66"/>
    <w:multiLevelType w:val="hybridMultilevel"/>
    <w:tmpl w:val="34D8C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17E23"/>
    <w:multiLevelType w:val="hybridMultilevel"/>
    <w:tmpl w:val="CF660648"/>
    <w:lvl w:ilvl="0" w:tplc="9994303E">
      <w:numFmt w:val="bullet"/>
      <w:lvlText w:val="-"/>
      <w:lvlJc w:val="left"/>
      <w:pPr>
        <w:ind w:left="435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376BE"/>
    <w:multiLevelType w:val="hybridMultilevel"/>
    <w:tmpl w:val="3F1C6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F4BCF"/>
    <w:multiLevelType w:val="hybridMultilevel"/>
    <w:tmpl w:val="164E2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A2C06"/>
    <w:multiLevelType w:val="hybridMultilevel"/>
    <w:tmpl w:val="24FC3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04331"/>
    <w:multiLevelType w:val="hybridMultilevel"/>
    <w:tmpl w:val="0A221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4449C"/>
    <w:multiLevelType w:val="hybridMultilevel"/>
    <w:tmpl w:val="3A4A8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E7BD8"/>
    <w:multiLevelType w:val="hybridMultilevel"/>
    <w:tmpl w:val="6784D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E7C42"/>
    <w:multiLevelType w:val="hybridMultilevel"/>
    <w:tmpl w:val="9E0E1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F34CA"/>
    <w:multiLevelType w:val="hybridMultilevel"/>
    <w:tmpl w:val="D5188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4935C1"/>
    <w:multiLevelType w:val="hybridMultilevel"/>
    <w:tmpl w:val="B9046FD0"/>
    <w:lvl w:ilvl="0" w:tplc="6D0262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D835DF"/>
    <w:multiLevelType w:val="hybridMultilevel"/>
    <w:tmpl w:val="BA2EE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96192"/>
    <w:multiLevelType w:val="hybridMultilevel"/>
    <w:tmpl w:val="C0C49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28522D"/>
    <w:multiLevelType w:val="hybridMultilevel"/>
    <w:tmpl w:val="C242F7C8"/>
    <w:lvl w:ilvl="0" w:tplc="76FC13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EEDFC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30BE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BC9B1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A2D2F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8A1A5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CCC4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72F97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2EBB4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248511A"/>
    <w:multiLevelType w:val="hybridMultilevel"/>
    <w:tmpl w:val="347E5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192DCC"/>
    <w:multiLevelType w:val="hybridMultilevel"/>
    <w:tmpl w:val="2A428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5D6BC1"/>
    <w:multiLevelType w:val="hybridMultilevel"/>
    <w:tmpl w:val="512A1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7C507C"/>
    <w:multiLevelType w:val="hybridMultilevel"/>
    <w:tmpl w:val="D49E3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F14A70"/>
    <w:multiLevelType w:val="hybridMultilevel"/>
    <w:tmpl w:val="0D6C3062"/>
    <w:lvl w:ilvl="0" w:tplc="9994303E">
      <w:numFmt w:val="bullet"/>
      <w:lvlText w:val="-"/>
      <w:lvlJc w:val="left"/>
      <w:pPr>
        <w:ind w:left="435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2" w15:restartNumberingAfterBreak="0">
    <w:nsid w:val="62407D42"/>
    <w:multiLevelType w:val="hybridMultilevel"/>
    <w:tmpl w:val="D918F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8B3463"/>
    <w:multiLevelType w:val="hybridMultilevel"/>
    <w:tmpl w:val="0116FED6"/>
    <w:lvl w:ilvl="0" w:tplc="9994303E">
      <w:numFmt w:val="bullet"/>
      <w:lvlText w:val="-"/>
      <w:lvlJc w:val="left"/>
      <w:pPr>
        <w:ind w:left="435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7412A8"/>
    <w:multiLevelType w:val="hybridMultilevel"/>
    <w:tmpl w:val="43823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764065"/>
    <w:multiLevelType w:val="hybridMultilevel"/>
    <w:tmpl w:val="1F50C03C"/>
    <w:lvl w:ilvl="0" w:tplc="DF3CB18E">
      <w:start w:val="1"/>
      <w:numFmt w:val="decimal"/>
      <w:suff w:val="nothing"/>
      <w:lvlText w:val="%1."/>
      <w:lvlJc w:val="left"/>
      <w:pPr>
        <w:ind w:left="0" w:firstLine="72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35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63272A"/>
    <w:multiLevelType w:val="hybridMultilevel"/>
    <w:tmpl w:val="7122C8E2"/>
    <w:lvl w:ilvl="0" w:tplc="0409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27" w15:restartNumberingAfterBreak="0">
    <w:nsid w:val="6F2106AB"/>
    <w:multiLevelType w:val="hybridMultilevel"/>
    <w:tmpl w:val="D6C61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E81CA9"/>
    <w:multiLevelType w:val="hybridMultilevel"/>
    <w:tmpl w:val="70667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E749E3"/>
    <w:multiLevelType w:val="hybridMultilevel"/>
    <w:tmpl w:val="C4FEF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700779">
    <w:abstractNumId w:val="24"/>
  </w:num>
  <w:num w:numId="2" w16cid:durableId="1978099830">
    <w:abstractNumId w:val="26"/>
  </w:num>
  <w:num w:numId="3" w16cid:durableId="1002123467">
    <w:abstractNumId w:val="10"/>
  </w:num>
  <w:num w:numId="4" w16cid:durableId="32199846">
    <w:abstractNumId w:val="1"/>
  </w:num>
  <w:num w:numId="5" w16cid:durableId="197477088">
    <w:abstractNumId w:val="8"/>
  </w:num>
  <w:num w:numId="6" w16cid:durableId="1379547306">
    <w:abstractNumId w:val="17"/>
  </w:num>
  <w:num w:numId="7" w16cid:durableId="919951421">
    <w:abstractNumId w:val="9"/>
  </w:num>
  <w:num w:numId="8" w16cid:durableId="63340024">
    <w:abstractNumId w:val="7"/>
  </w:num>
  <w:num w:numId="9" w16cid:durableId="219295041">
    <w:abstractNumId w:val="13"/>
  </w:num>
  <w:num w:numId="10" w16cid:durableId="1379088175">
    <w:abstractNumId w:val="19"/>
  </w:num>
  <w:num w:numId="11" w16cid:durableId="1358458559">
    <w:abstractNumId w:val="29"/>
  </w:num>
  <w:num w:numId="12" w16cid:durableId="832255705">
    <w:abstractNumId w:val="6"/>
  </w:num>
  <w:num w:numId="13" w16cid:durableId="1048648586">
    <w:abstractNumId w:val="21"/>
  </w:num>
  <w:num w:numId="14" w16cid:durableId="865485552">
    <w:abstractNumId w:val="23"/>
  </w:num>
  <w:num w:numId="15" w16cid:durableId="40174074">
    <w:abstractNumId w:val="4"/>
  </w:num>
  <w:num w:numId="16" w16cid:durableId="816722650">
    <w:abstractNumId w:val="0"/>
  </w:num>
  <w:num w:numId="17" w16cid:durableId="345718672">
    <w:abstractNumId w:val="15"/>
  </w:num>
  <w:num w:numId="18" w16cid:durableId="1082531695">
    <w:abstractNumId w:val="20"/>
  </w:num>
  <w:num w:numId="19" w16cid:durableId="1500077621">
    <w:abstractNumId w:val="3"/>
  </w:num>
  <w:num w:numId="20" w16cid:durableId="1599602900">
    <w:abstractNumId w:val="14"/>
  </w:num>
  <w:num w:numId="21" w16cid:durableId="1137836206">
    <w:abstractNumId w:val="28"/>
  </w:num>
  <w:num w:numId="22" w16cid:durableId="1030061509">
    <w:abstractNumId w:val="27"/>
  </w:num>
  <w:num w:numId="23" w16cid:durableId="753742264">
    <w:abstractNumId w:val="11"/>
  </w:num>
  <w:num w:numId="24" w16cid:durableId="1871331762">
    <w:abstractNumId w:val="25"/>
  </w:num>
  <w:num w:numId="25" w16cid:durableId="1879584921">
    <w:abstractNumId w:val="5"/>
  </w:num>
  <w:num w:numId="26" w16cid:durableId="2136289971">
    <w:abstractNumId w:val="16"/>
  </w:num>
  <w:num w:numId="27" w16cid:durableId="462622952">
    <w:abstractNumId w:val="18"/>
  </w:num>
  <w:num w:numId="28" w16cid:durableId="1422722459">
    <w:abstractNumId w:val="12"/>
  </w:num>
  <w:num w:numId="29" w16cid:durableId="1953781632">
    <w:abstractNumId w:val="2"/>
  </w:num>
  <w:num w:numId="30" w16cid:durableId="24938896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76F"/>
    <w:rsid w:val="00001331"/>
    <w:rsid w:val="00013B7E"/>
    <w:rsid w:val="00015A48"/>
    <w:rsid w:val="000276E5"/>
    <w:rsid w:val="00027B5D"/>
    <w:rsid w:val="0003103B"/>
    <w:rsid w:val="00041EE0"/>
    <w:rsid w:val="00042572"/>
    <w:rsid w:val="0005112F"/>
    <w:rsid w:val="0005632B"/>
    <w:rsid w:val="00062D9B"/>
    <w:rsid w:val="00072DE3"/>
    <w:rsid w:val="000762F7"/>
    <w:rsid w:val="00077220"/>
    <w:rsid w:val="00080E04"/>
    <w:rsid w:val="0008291B"/>
    <w:rsid w:val="0008523F"/>
    <w:rsid w:val="000863CE"/>
    <w:rsid w:val="00090CB6"/>
    <w:rsid w:val="000A29D3"/>
    <w:rsid w:val="000A3A58"/>
    <w:rsid w:val="000A6E31"/>
    <w:rsid w:val="000B1E4B"/>
    <w:rsid w:val="000B377F"/>
    <w:rsid w:val="000B6BBD"/>
    <w:rsid w:val="000C0DF2"/>
    <w:rsid w:val="000C1AED"/>
    <w:rsid w:val="000C5531"/>
    <w:rsid w:val="000D21C7"/>
    <w:rsid w:val="000E3555"/>
    <w:rsid w:val="000E718C"/>
    <w:rsid w:val="000E7E43"/>
    <w:rsid w:val="000F3657"/>
    <w:rsid w:val="00103223"/>
    <w:rsid w:val="00111747"/>
    <w:rsid w:val="00113BFC"/>
    <w:rsid w:val="00123683"/>
    <w:rsid w:val="00123A36"/>
    <w:rsid w:val="00153FC2"/>
    <w:rsid w:val="00154175"/>
    <w:rsid w:val="0016796B"/>
    <w:rsid w:val="001679C6"/>
    <w:rsid w:val="001737B3"/>
    <w:rsid w:val="00173929"/>
    <w:rsid w:val="00174C58"/>
    <w:rsid w:val="001762D1"/>
    <w:rsid w:val="00181BB5"/>
    <w:rsid w:val="001877A4"/>
    <w:rsid w:val="001A5644"/>
    <w:rsid w:val="001A7D1B"/>
    <w:rsid w:val="001B05E8"/>
    <w:rsid w:val="001B671E"/>
    <w:rsid w:val="001B70F1"/>
    <w:rsid w:val="001C0339"/>
    <w:rsid w:val="001C4424"/>
    <w:rsid w:val="001C6A3A"/>
    <w:rsid w:val="001D1C4F"/>
    <w:rsid w:val="001E0B7A"/>
    <w:rsid w:val="001E24D2"/>
    <w:rsid w:val="001E373C"/>
    <w:rsid w:val="001E756A"/>
    <w:rsid w:val="001F15E8"/>
    <w:rsid w:val="00200C5D"/>
    <w:rsid w:val="0020307C"/>
    <w:rsid w:val="00217B3A"/>
    <w:rsid w:val="00222189"/>
    <w:rsid w:val="00224305"/>
    <w:rsid w:val="002248EA"/>
    <w:rsid w:val="00227DA7"/>
    <w:rsid w:val="0023110B"/>
    <w:rsid w:val="00240902"/>
    <w:rsid w:val="002530EB"/>
    <w:rsid w:val="00254712"/>
    <w:rsid w:val="00263AA5"/>
    <w:rsid w:val="00276D88"/>
    <w:rsid w:val="002776D4"/>
    <w:rsid w:val="00282F97"/>
    <w:rsid w:val="00286B01"/>
    <w:rsid w:val="00287036"/>
    <w:rsid w:val="00291916"/>
    <w:rsid w:val="00296E12"/>
    <w:rsid w:val="00296EF6"/>
    <w:rsid w:val="002A5AA8"/>
    <w:rsid w:val="002B26A4"/>
    <w:rsid w:val="002B3F56"/>
    <w:rsid w:val="002C7005"/>
    <w:rsid w:val="002D282C"/>
    <w:rsid w:val="002E3600"/>
    <w:rsid w:val="002E4598"/>
    <w:rsid w:val="00300359"/>
    <w:rsid w:val="00303B44"/>
    <w:rsid w:val="0030564B"/>
    <w:rsid w:val="0031220E"/>
    <w:rsid w:val="0031642B"/>
    <w:rsid w:val="003167C3"/>
    <w:rsid w:val="00320E7E"/>
    <w:rsid w:val="0032109D"/>
    <w:rsid w:val="00326070"/>
    <w:rsid w:val="0033413B"/>
    <w:rsid w:val="003357F7"/>
    <w:rsid w:val="00342BF8"/>
    <w:rsid w:val="00347603"/>
    <w:rsid w:val="00347888"/>
    <w:rsid w:val="00350CBF"/>
    <w:rsid w:val="00352182"/>
    <w:rsid w:val="00357691"/>
    <w:rsid w:val="003628BE"/>
    <w:rsid w:val="003637F1"/>
    <w:rsid w:val="003718D1"/>
    <w:rsid w:val="00374925"/>
    <w:rsid w:val="0037536D"/>
    <w:rsid w:val="0037686F"/>
    <w:rsid w:val="00376CD6"/>
    <w:rsid w:val="00377322"/>
    <w:rsid w:val="0038015B"/>
    <w:rsid w:val="003847EC"/>
    <w:rsid w:val="00393788"/>
    <w:rsid w:val="00393F0F"/>
    <w:rsid w:val="003A2BC8"/>
    <w:rsid w:val="003A2FBC"/>
    <w:rsid w:val="003B6BD2"/>
    <w:rsid w:val="003C216A"/>
    <w:rsid w:val="003C30B6"/>
    <w:rsid w:val="003C4DD7"/>
    <w:rsid w:val="003D089B"/>
    <w:rsid w:val="003D0A4A"/>
    <w:rsid w:val="003E5867"/>
    <w:rsid w:val="003F1B83"/>
    <w:rsid w:val="003F605C"/>
    <w:rsid w:val="00400E1D"/>
    <w:rsid w:val="00405517"/>
    <w:rsid w:val="00407397"/>
    <w:rsid w:val="00411EE3"/>
    <w:rsid w:val="004178F5"/>
    <w:rsid w:val="004265F7"/>
    <w:rsid w:val="00440BB7"/>
    <w:rsid w:val="0044162D"/>
    <w:rsid w:val="004430D3"/>
    <w:rsid w:val="00443AD2"/>
    <w:rsid w:val="00443D2D"/>
    <w:rsid w:val="00443FD7"/>
    <w:rsid w:val="004471A0"/>
    <w:rsid w:val="00453C40"/>
    <w:rsid w:val="00455328"/>
    <w:rsid w:val="00455724"/>
    <w:rsid w:val="0045729E"/>
    <w:rsid w:val="00460EDB"/>
    <w:rsid w:val="00463796"/>
    <w:rsid w:val="004878FB"/>
    <w:rsid w:val="0049166B"/>
    <w:rsid w:val="004934D4"/>
    <w:rsid w:val="004971A5"/>
    <w:rsid w:val="004A3F96"/>
    <w:rsid w:val="004A4967"/>
    <w:rsid w:val="004B468F"/>
    <w:rsid w:val="004B4A2D"/>
    <w:rsid w:val="004B5320"/>
    <w:rsid w:val="004B7440"/>
    <w:rsid w:val="004C1325"/>
    <w:rsid w:val="004C1625"/>
    <w:rsid w:val="004C1E77"/>
    <w:rsid w:val="004C5F89"/>
    <w:rsid w:val="004C78BE"/>
    <w:rsid w:val="004D093E"/>
    <w:rsid w:val="004D176F"/>
    <w:rsid w:val="004D5183"/>
    <w:rsid w:val="004D6922"/>
    <w:rsid w:val="004E6FF6"/>
    <w:rsid w:val="004F2F90"/>
    <w:rsid w:val="004F5834"/>
    <w:rsid w:val="004F7C78"/>
    <w:rsid w:val="00501F1C"/>
    <w:rsid w:val="00507646"/>
    <w:rsid w:val="00511917"/>
    <w:rsid w:val="00523363"/>
    <w:rsid w:val="005247AA"/>
    <w:rsid w:val="0053124A"/>
    <w:rsid w:val="005471DD"/>
    <w:rsid w:val="00552179"/>
    <w:rsid w:val="005607E2"/>
    <w:rsid w:val="005641F0"/>
    <w:rsid w:val="00567170"/>
    <w:rsid w:val="00570471"/>
    <w:rsid w:val="005842E0"/>
    <w:rsid w:val="005919AE"/>
    <w:rsid w:val="005923D0"/>
    <w:rsid w:val="00595206"/>
    <w:rsid w:val="00596B6A"/>
    <w:rsid w:val="005A0F54"/>
    <w:rsid w:val="005A4597"/>
    <w:rsid w:val="005A54CD"/>
    <w:rsid w:val="005A7171"/>
    <w:rsid w:val="005B07DA"/>
    <w:rsid w:val="005B6F69"/>
    <w:rsid w:val="005C2E2A"/>
    <w:rsid w:val="005C6C17"/>
    <w:rsid w:val="005C7E4C"/>
    <w:rsid w:val="005D02FA"/>
    <w:rsid w:val="005D0AD5"/>
    <w:rsid w:val="005D5A8C"/>
    <w:rsid w:val="005D7E74"/>
    <w:rsid w:val="005E2989"/>
    <w:rsid w:val="005E716D"/>
    <w:rsid w:val="005E7889"/>
    <w:rsid w:val="005F2A5F"/>
    <w:rsid w:val="005F3EFF"/>
    <w:rsid w:val="0060264F"/>
    <w:rsid w:val="0062160D"/>
    <w:rsid w:val="006223BC"/>
    <w:rsid w:val="00630D15"/>
    <w:rsid w:val="00631DE6"/>
    <w:rsid w:val="00632618"/>
    <w:rsid w:val="0063466E"/>
    <w:rsid w:val="0063560A"/>
    <w:rsid w:val="0063773D"/>
    <w:rsid w:val="006411FC"/>
    <w:rsid w:val="00644FCA"/>
    <w:rsid w:val="00646B34"/>
    <w:rsid w:val="00647476"/>
    <w:rsid w:val="00651BDB"/>
    <w:rsid w:val="00651F73"/>
    <w:rsid w:val="00653C33"/>
    <w:rsid w:val="00654666"/>
    <w:rsid w:val="0065705C"/>
    <w:rsid w:val="006623BA"/>
    <w:rsid w:val="0066383F"/>
    <w:rsid w:val="006678A7"/>
    <w:rsid w:val="00670D60"/>
    <w:rsid w:val="00672217"/>
    <w:rsid w:val="006732A8"/>
    <w:rsid w:val="006746EE"/>
    <w:rsid w:val="006804D8"/>
    <w:rsid w:val="00684C33"/>
    <w:rsid w:val="00690B16"/>
    <w:rsid w:val="006935BF"/>
    <w:rsid w:val="0069703B"/>
    <w:rsid w:val="006977BA"/>
    <w:rsid w:val="006A5737"/>
    <w:rsid w:val="006B16C1"/>
    <w:rsid w:val="006C6F0C"/>
    <w:rsid w:val="006D3FF4"/>
    <w:rsid w:val="006E7EE6"/>
    <w:rsid w:val="006F3BD7"/>
    <w:rsid w:val="006F62E8"/>
    <w:rsid w:val="007010BB"/>
    <w:rsid w:val="007044D6"/>
    <w:rsid w:val="00705890"/>
    <w:rsid w:val="00710E9D"/>
    <w:rsid w:val="00723809"/>
    <w:rsid w:val="0073440C"/>
    <w:rsid w:val="0073594F"/>
    <w:rsid w:val="00741038"/>
    <w:rsid w:val="00752274"/>
    <w:rsid w:val="007523CA"/>
    <w:rsid w:val="00755911"/>
    <w:rsid w:val="007575C7"/>
    <w:rsid w:val="00760FBC"/>
    <w:rsid w:val="00761F43"/>
    <w:rsid w:val="00762CBA"/>
    <w:rsid w:val="00764303"/>
    <w:rsid w:val="00765246"/>
    <w:rsid w:val="00766DC0"/>
    <w:rsid w:val="00776016"/>
    <w:rsid w:val="007813ED"/>
    <w:rsid w:val="00791941"/>
    <w:rsid w:val="007977D3"/>
    <w:rsid w:val="007A2D68"/>
    <w:rsid w:val="007A2E41"/>
    <w:rsid w:val="007A586C"/>
    <w:rsid w:val="007A7913"/>
    <w:rsid w:val="007A7E74"/>
    <w:rsid w:val="007C152F"/>
    <w:rsid w:val="007D11A0"/>
    <w:rsid w:val="007D1D6A"/>
    <w:rsid w:val="007D3B4E"/>
    <w:rsid w:val="007D59EC"/>
    <w:rsid w:val="007D7099"/>
    <w:rsid w:val="007D7F52"/>
    <w:rsid w:val="007E2C73"/>
    <w:rsid w:val="007F3F30"/>
    <w:rsid w:val="007F4708"/>
    <w:rsid w:val="007F475C"/>
    <w:rsid w:val="007F5D21"/>
    <w:rsid w:val="00810A35"/>
    <w:rsid w:val="0081196F"/>
    <w:rsid w:val="008146C0"/>
    <w:rsid w:val="00814D6B"/>
    <w:rsid w:val="00814EE1"/>
    <w:rsid w:val="00820934"/>
    <w:rsid w:val="00822707"/>
    <w:rsid w:val="00832DF6"/>
    <w:rsid w:val="00832EB0"/>
    <w:rsid w:val="00837406"/>
    <w:rsid w:val="00843F92"/>
    <w:rsid w:val="00844266"/>
    <w:rsid w:val="00844806"/>
    <w:rsid w:val="00852F8C"/>
    <w:rsid w:val="008615D7"/>
    <w:rsid w:val="0086202F"/>
    <w:rsid w:val="00870C50"/>
    <w:rsid w:val="00873F95"/>
    <w:rsid w:val="008747E1"/>
    <w:rsid w:val="00875379"/>
    <w:rsid w:val="00876EFE"/>
    <w:rsid w:val="00876F27"/>
    <w:rsid w:val="00886C6D"/>
    <w:rsid w:val="00886F40"/>
    <w:rsid w:val="008907FC"/>
    <w:rsid w:val="0089593C"/>
    <w:rsid w:val="008A03E8"/>
    <w:rsid w:val="008A3424"/>
    <w:rsid w:val="008B1C3E"/>
    <w:rsid w:val="008B2543"/>
    <w:rsid w:val="008B2789"/>
    <w:rsid w:val="008D2E75"/>
    <w:rsid w:val="008D34C4"/>
    <w:rsid w:val="008D566F"/>
    <w:rsid w:val="008E2C56"/>
    <w:rsid w:val="008E332C"/>
    <w:rsid w:val="008E4E86"/>
    <w:rsid w:val="008E57B6"/>
    <w:rsid w:val="008F2FB5"/>
    <w:rsid w:val="008F582F"/>
    <w:rsid w:val="00901C99"/>
    <w:rsid w:val="00901F72"/>
    <w:rsid w:val="00906017"/>
    <w:rsid w:val="00911CE5"/>
    <w:rsid w:val="00911DEB"/>
    <w:rsid w:val="00914400"/>
    <w:rsid w:val="00914747"/>
    <w:rsid w:val="0091573D"/>
    <w:rsid w:val="00920315"/>
    <w:rsid w:val="00934B10"/>
    <w:rsid w:val="00941DB4"/>
    <w:rsid w:val="0095205D"/>
    <w:rsid w:val="00956AB9"/>
    <w:rsid w:val="00964238"/>
    <w:rsid w:val="009645C1"/>
    <w:rsid w:val="00970958"/>
    <w:rsid w:val="00970C72"/>
    <w:rsid w:val="00970FE4"/>
    <w:rsid w:val="00972555"/>
    <w:rsid w:val="0097530B"/>
    <w:rsid w:val="00975A46"/>
    <w:rsid w:val="00976ECF"/>
    <w:rsid w:val="0098015B"/>
    <w:rsid w:val="009927A3"/>
    <w:rsid w:val="0099506A"/>
    <w:rsid w:val="00995073"/>
    <w:rsid w:val="009A191A"/>
    <w:rsid w:val="009A327F"/>
    <w:rsid w:val="009C12CD"/>
    <w:rsid w:val="009C2659"/>
    <w:rsid w:val="009E4205"/>
    <w:rsid w:val="009F5B06"/>
    <w:rsid w:val="00A005B8"/>
    <w:rsid w:val="00A02DD7"/>
    <w:rsid w:val="00A07721"/>
    <w:rsid w:val="00A12D85"/>
    <w:rsid w:val="00A1528B"/>
    <w:rsid w:val="00A164C4"/>
    <w:rsid w:val="00A201AE"/>
    <w:rsid w:val="00A22479"/>
    <w:rsid w:val="00A237A9"/>
    <w:rsid w:val="00A24C6C"/>
    <w:rsid w:val="00A30660"/>
    <w:rsid w:val="00A356E9"/>
    <w:rsid w:val="00A4706E"/>
    <w:rsid w:val="00A47147"/>
    <w:rsid w:val="00A54A60"/>
    <w:rsid w:val="00A640AB"/>
    <w:rsid w:val="00A66B54"/>
    <w:rsid w:val="00A829B7"/>
    <w:rsid w:val="00A82C92"/>
    <w:rsid w:val="00A84469"/>
    <w:rsid w:val="00AA2672"/>
    <w:rsid w:val="00AA31FF"/>
    <w:rsid w:val="00AB06B1"/>
    <w:rsid w:val="00AB0E4C"/>
    <w:rsid w:val="00AB1450"/>
    <w:rsid w:val="00AB6C97"/>
    <w:rsid w:val="00AB7540"/>
    <w:rsid w:val="00AC4968"/>
    <w:rsid w:val="00AD0D0C"/>
    <w:rsid w:val="00AD28A5"/>
    <w:rsid w:val="00AD333B"/>
    <w:rsid w:val="00AD34C7"/>
    <w:rsid w:val="00AD4610"/>
    <w:rsid w:val="00AD66FA"/>
    <w:rsid w:val="00AE1D31"/>
    <w:rsid w:val="00AE6351"/>
    <w:rsid w:val="00AE79B0"/>
    <w:rsid w:val="00AF0175"/>
    <w:rsid w:val="00AF18FE"/>
    <w:rsid w:val="00AF2228"/>
    <w:rsid w:val="00AF3556"/>
    <w:rsid w:val="00AF502D"/>
    <w:rsid w:val="00B15806"/>
    <w:rsid w:val="00B26334"/>
    <w:rsid w:val="00B341E2"/>
    <w:rsid w:val="00B42D27"/>
    <w:rsid w:val="00B452FC"/>
    <w:rsid w:val="00B45AD9"/>
    <w:rsid w:val="00B45B7C"/>
    <w:rsid w:val="00B53640"/>
    <w:rsid w:val="00B54FDE"/>
    <w:rsid w:val="00B552FE"/>
    <w:rsid w:val="00B76A29"/>
    <w:rsid w:val="00B80CEA"/>
    <w:rsid w:val="00B81F89"/>
    <w:rsid w:val="00B91F98"/>
    <w:rsid w:val="00B96566"/>
    <w:rsid w:val="00B969C8"/>
    <w:rsid w:val="00BA476A"/>
    <w:rsid w:val="00BA5EBF"/>
    <w:rsid w:val="00BA65CE"/>
    <w:rsid w:val="00BA6D19"/>
    <w:rsid w:val="00BA7E1A"/>
    <w:rsid w:val="00BB0FE6"/>
    <w:rsid w:val="00BB3847"/>
    <w:rsid w:val="00BB3E10"/>
    <w:rsid w:val="00BB7425"/>
    <w:rsid w:val="00BC0998"/>
    <w:rsid w:val="00BD0499"/>
    <w:rsid w:val="00BD0C1E"/>
    <w:rsid w:val="00BD1D0F"/>
    <w:rsid w:val="00BD4764"/>
    <w:rsid w:val="00BE479A"/>
    <w:rsid w:val="00C0196F"/>
    <w:rsid w:val="00C06728"/>
    <w:rsid w:val="00C10694"/>
    <w:rsid w:val="00C119D2"/>
    <w:rsid w:val="00C11ADE"/>
    <w:rsid w:val="00C2794E"/>
    <w:rsid w:val="00C3217C"/>
    <w:rsid w:val="00C32D5D"/>
    <w:rsid w:val="00C36463"/>
    <w:rsid w:val="00C45D79"/>
    <w:rsid w:val="00C534D5"/>
    <w:rsid w:val="00C53605"/>
    <w:rsid w:val="00C625FE"/>
    <w:rsid w:val="00C83FC4"/>
    <w:rsid w:val="00C908F5"/>
    <w:rsid w:val="00CA4C87"/>
    <w:rsid w:val="00CB1165"/>
    <w:rsid w:val="00CB7322"/>
    <w:rsid w:val="00CD33D9"/>
    <w:rsid w:val="00CD7CCD"/>
    <w:rsid w:val="00CE6933"/>
    <w:rsid w:val="00CF0AE6"/>
    <w:rsid w:val="00CF20AC"/>
    <w:rsid w:val="00CF3528"/>
    <w:rsid w:val="00D0156A"/>
    <w:rsid w:val="00D04062"/>
    <w:rsid w:val="00D05CEA"/>
    <w:rsid w:val="00D06B4E"/>
    <w:rsid w:val="00D149B9"/>
    <w:rsid w:val="00D20342"/>
    <w:rsid w:val="00D209F3"/>
    <w:rsid w:val="00D21FA9"/>
    <w:rsid w:val="00D2576D"/>
    <w:rsid w:val="00D26979"/>
    <w:rsid w:val="00D3175B"/>
    <w:rsid w:val="00D358CA"/>
    <w:rsid w:val="00D4079E"/>
    <w:rsid w:val="00D44906"/>
    <w:rsid w:val="00D46781"/>
    <w:rsid w:val="00D46C3A"/>
    <w:rsid w:val="00D476D1"/>
    <w:rsid w:val="00D5135F"/>
    <w:rsid w:val="00D57D61"/>
    <w:rsid w:val="00D633E8"/>
    <w:rsid w:val="00D80B16"/>
    <w:rsid w:val="00D84EC6"/>
    <w:rsid w:val="00D877F3"/>
    <w:rsid w:val="00D9015D"/>
    <w:rsid w:val="00DA2B74"/>
    <w:rsid w:val="00DA3259"/>
    <w:rsid w:val="00DB5D81"/>
    <w:rsid w:val="00DB6129"/>
    <w:rsid w:val="00DB76EA"/>
    <w:rsid w:val="00DC189A"/>
    <w:rsid w:val="00DC3D3E"/>
    <w:rsid w:val="00DC7D01"/>
    <w:rsid w:val="00DD7640"/>
    <w:rsid w:val="00DD7DA3"/>
    <w:rsid w:val="00DE063F"/>
    <w:rsid w:val="00DF0239"/>
    <w:rsid w:val="00DF3108"/>
    <w:rsid w:val="00E006EC"/>
    <w:rsid w:val="00E013CB"/>
    <w:rsid w:val="00E07AE9"/>
    <w:rsid w:val="00E13B43"/>
    <w:rsid w:val="00E15C2F"/>
    <w:rsid w:val="00E174F6"/>
    <w:rsid w:val="00E24624"/>
    <w:rsid w:val="00E319C1"/>
    <w:rsid w:val="00E32DDA"/>
    <w:rsid w:val="00E4366B"/>
    <w:rsid w:val="00E44EED"/>
    <w:rsid w:val="00E46327"/>
    <w:rsid w:val="00E474FD"/>
    <w:rsid w:val="00E54B19"/>
    <w:rsid w:val="00E70EBB"/>
    <w:rsid w:val="00E71DCB"/>
    <w:rsid w:val="00E73EAC"/>
    <w:rsid w:val="00E744C8"/>
    <w:rsid w:val="00E74BF6"/>
    <w:rsid w:val="00E7525F"/>
    <w:rsid w:val="00E77836"/>
    <w:rsid w:val="00E8102A"/>
    <w:rsid w:val="00E82183"/>
    <w:rsid w:val="00E84053"/>
    <w:rsid w:val="00E841AA"/>
    <w:rsid w:val="00E85C8E"/>
    <w:rsid w:val="00E864E7"/>
    <w:rsid w:val="00E902DB"/>
    <w:rsid w:val="00E91C92"/>
    <w:rsid w:val="00EB661B"/>
    <w:rsid w:val="00EB71D7"/>
    <w:rsid w:val="00EC06CC"/>
    <w:rsid w:val="00EC703C"/>
    <w:rsid w:val="00ED320C"/>
    <w:rsid w:val="00EE322F"/>
    <w:rsid w:val="00EE634E"/>
    <w:rsid w:val="00F003A7"/>
    <w:rsid w:val="00F05FFE"/>
    <w:rsid w:val="00F15BF5"/>
    <w:rsid w:val="00F24DFC"/>
    <w:rsid w:val="00F31CE2"/>
    <w:rsid w:val="00F60FB8"/>
    <w:rsid w:val="00F73C1A"/>
    <w:rsid w:val="00F76C61"/>
    <w:rsid w:val="00F8644A"/>
    <w:rsid w:val="00F91E3D"/>
    <w:rsid w:val="00F926B2"/>
    <w:rsid w:val="00F965E0"/>
    <w:rsid w:val="00FA1D1E"/>
    <w:rsid w:val="00FA3D06"/>
    <w:rsid w:val="00FA49A1"/>
    <w:rsid w:val="00FA7C28"/>
    <w:rsid w:val="00FB3A36"/>
    <w:rsid w:val="00FB3F79"/>
    <w:rsid w:val="00FC051D"/>
    <w:rsid w:val="00FC4D27"/>
    <w:rsid w:val="00FC6389"/>
    <w:rsid w:val="00FD6E95"/>
    <w:rsid w:val="00FE05CF"/>
    <w:rsid w:val="00FE7640"/>
    <w:rsid w:val="00FF12F7"/>
    <w:rsid w:val="00FF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/>
    <o:shapelayout v:ext="edit">
      <o:idmap v:ext="edit" data="1"/>
    </o:shapelayout>
  </w:shapeDefaults>
  <w:decimalSymbol w:val="."/>
  <w:listSeparator w:val=","/>
  <w14:docId w14:val="2789C8C4"/>
  <w15:docId w15:val="{D20B5484-1A6A-4CB2-9674-5051FC0C4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1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0A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A35"/>
  </w:style>
  <w:style w:type="paragraph" w:styleId="Footer">
    <w:name w:val="footer"/>
    <w:basedOn w:val="Normal"/>
    <w:link w:val="FooterChar"/>
    <w:uiPriority w:val="99"/>
    <w:unhideWhenUsed/>
    <w:rsid w:val="00810A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A35"/>
  </w:style>
  <w:style w:type="table" w:styleId="TableGrid">
    <w:name w:val="Table Grid"/>
    <w:basedOn w:val="TableNormal"/>
    <w:uiPriority w:val="39"/>
    <w:rsid w:val="00552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5">
    <w:name w:val="Light List Accent 5"/>
    <w:basedOn w:val="TableNormal"/>
    <w:uiPriority w:val="61"/>
    <w:rsid w:val="0055217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13B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B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360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F1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15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15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5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5E8"/>
    <w:rPr>
      <w:b/>
      <w:bCs/>
      <w:sz w:val="20"/>
      <w:szCs w:val="20"/>
    </w:rPr>
  </w:style>
  <w:style w:type="paragraph" w:styleId="NoSpacing">
    <w:name w:val="No Spacing"/>
    <w:uiPriority w:val="1"/>
    <w:qFormat/>
    <w:rsid w:val="00A237A9"/>
  </w:style>
  <w:style w:type="paragraph" w:customStyle="1" w:styleId="Standard1">
    <w:name w:val="Standard1"/>
    <w:basedOn w:val="Normal"/>
    <w:rsid w:val="00374925"/>
    <w:pPr>
      <w:spacing w:before="60" w:after="6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F9BD.419698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0C65A-7379-4546-A0DC-209D82E6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1091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Ucare</Company>
  <LinksUpToDate>false</LinksUpToDate>
  <CharactersWithSpaces>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 Som</dc:creator>
  <cp:keywords/>
  <dc:description/>
  <cp:lastModifiedBy>Lynda Laitinen-Terlecki</cp:lastModifiedBy>
  <cp:revision>7</cp:revision>
  <cp:lastPrinted>2021-03-05T16:16:00Z</cp:lastPrinted>
  <dcterms:created xsi:type="dcterms:W3CDTF">2024-03-18T17:04:00Z</dcterms:created>
  <dcterms:modified xsi:type="dcterms:W3CDTF">2024-03-20T12:58:00Z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2014-07-24T00:00:00Z</vt:filetime>
  </property>
  <property fmtid="{D5CDD505-2E9C-101B-9397-08002B2CF9AE}" pid="3" name="LastSaved">
    <vt:filetime>2014-10-08T00:00:00Z</vt:filetime>
  </property>
</Properties>
</file>