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6287" w14:textId="67FA93B7" w:rsidR="004A3F96" w:rsidRPr="00AD66FA" w:rsidRDefault="004A3F96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proofErr w:type="spellStart"/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UCare</w:t>
      </w:r>
      <w:r w:rsidR="00440BB7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’s</w:t>
      </w:r>
      <w:proofErr w:type="spellEnd"/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Pharmacy and Therapeutics Committee (P&amp;T) is a group of physicians and pharmacists that meet throughout </w:t>
      </w:r>
      <w:r w:rsid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the year to make changes to UCare formularies</w:t>
      </w:r>
      <w:r w:rsidR="00875379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(approved drug list).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These changes are reviewed based on clinical evidence</w:t>
      </w:r>
      <w:r w:rsidR="0063466E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, safety, and </w:t>
      </w:r>
      <w:r w:rsidR="00875379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therapeutic guidelines.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All changes that </w:t>
      </w:r>
      <w:r w:rsidR="0063466E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are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recommended by P&amp;T </w:t>
      </w:r>
      <w:r w:rsidR="00CB7322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for the Medicare formularies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are tentative un</w:t>
      </w:r>
      <w:r w:rsidR="00CB7322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til UCare receives final CMS approval.</w:t>
      </w:r>
    </w:p>
    <w:p w14:paraId="65087A81" w14:textId="77777777" w:rsidR="004A3F96" w:rsidRPr="00AD66FA" w:rsidRDefault="004A3F96" w:rsidP="004A3F96">
      <w:pPr>
        <w:spacing w:before="24"/>
        <w:ind w:left="569"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</w:p>
    <w:p w14:paraId="1150A02D" w14:textId="77777777" w:rsidR="00B81F89" w:rsidRPr="00AD66FA" w:rsidRDefault="004A3F96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  <w:u w:val="single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  <w:u w:val="single"/>
        </w:rPr>
        <w:t>Key:</w:t>
      </w:r>
    </w:p>
    <w:p w14:paraId="5D1D94BF" w14:textId="112F53CD" w:rsidR="00B81F89" w:rsidRPr="00AD66FA" w:rsidRDefault="00400E1D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Medicare: </w:t>
      </w:r>
      <w:r w:rsidR="001B70F1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UC</w:t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ar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e</w:t>
      </w:r>
      <w:r w:rsidR="005A0F54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Medicare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,</w:t>
      </w:r>
      <w:r w:rsidR="005A0F54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UCare Medicare with Fairview and North Memorial,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</w:t>
      </w:r>
      <w:r w:rsidR="005A0F54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UCare Group Medicare, </w:t>
      </w:r>
      <w:proofErr w:type="spellStart"/>
      <w:r w:rsidR="00523363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EssentiaCare</w:t>
      </w:r>
      <w:proofErr w:type="spellEnd"/>
      <w:r w:rsidR="00523363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,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Minnesota Sen</w:t>
      </w:r>
      <w:r w:rsidR="00523363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ior Health Options</w:t>
      </w:r>
      <w:r w:rsidR="005A0F54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(MSHO)</w:t>
      </w:r>
      <w:r w:rsidR="00523363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</w:t>
      </w:r>
      <w:r w:rsidR="005C2E2A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&amp; </w:t>
      </w:r>
      <w:proofErr w:type="gramStart"/>
      <w:r w:rsidR="005C2E2A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Connect</w:t>
      </w:r>
      <w:proofErr w:type="gramEnd"/>
      <w:r w:rsidR="005C2E2A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 + Medicare </w:t>
      </w:r>
    </w:p>
    <w:p w14:paraId="7EDBF446" w14:textId="79F0D6AC" w:rsidR="0005632B" w:rsidRPr="00AD66FA" w:rsidRDefault="0005632B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Medicaid</w:t>
      </w:r>
      <w:r w:rsidR="00400E1D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: PMAP, </w:t>
      </w:r>
      <w:proofErr w:type="spellStart"/>
      <w:r w:rsidR="00400E1D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MnCare</w:t>
      </w:r>
      <w:proofErr w:type="spellEnd"/>
      <w:r w:rsidR="00400E1D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, MSC+ &amp; </w:t>
      </w:r>
      <w:proofErr w:type="gramStart"/>
      <w:r w:rsidR="00400E1D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Connect</w:t>
      </w:r>
      <w:proofErr w:type="gramEnd"/>
    </w:p>
    <w:p w14:paraId="6F77E887" w14:textId="5944DAAC" w:rsidR="00400E1D" w:rsidRDefault="00400E1D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Exchange: UCare </w:t>
      </w:r>
      <w:r w:rsidR="005A0F54">
        <w:rPr>
          <w:rFonts w:ascii="Verdana" w:eastAsia="Times New Roman" w:hAnsi="Verdana" w:cs="Times New Roman"/>
          <w:bCs/>
          <w:spacing w:val="2"/>
          <w:sz w:val="20"/>
          <w:szCs w:val="20"/>
        </w:rPr>
        <w:t>Individual and Family Plans</w:t>
      </w:r>
    </w:p>
    <w:p w14:paraId="4185E2F5" w14:textId="77777777" w:rsidR="00303B44" w:rsidRPr="00AD66FA" w:rsidRDefault="00303B44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</w:p>
    <w:p w14:paraId="7985106C" w14:textId="0A85FDAA" w:rsidR="004A3F96" w:rsidRPr="00AD66FA" w:rsidRDefault="00303B44" w:rsidP="00CB7322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>
        <w:rPr>
          <w:rFonts w:ascii="Verdana" w:eastAsia="Times New Roman" w:hAnsi="Verdana" w:cs="Times New Roman"/>
          <w:bCs/>
          <w:spacing w:val="2"/>
          <w:sz w:val="20"/>
          <w:szCs w:val="20"/>
        </w:rPr>
        <w:t>F</w:t>
      </w:r>
      <w:r w:rsidR="00347603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: </w:t>
      </w:r>
      <w:r>
        <w:rPr>
          <w:rFonts w:ascii="Verdana" w:eastAsia="Times New Roman" w:hAnsi="Verdana" w:cs="Times New Roman"/>
          <w:bCs/>
          <w:spacing w:val="2"/>
          <w:sz w:val="20"/>
          <w:szCs w:val="20"/>
        </w:rPr>
        <w:t>Formulary</w:t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="00B81F89"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</w:p>
    <w:p w14:paraId="00D3FA92" w14:textId="7173AA21" w:rsidR="00173929" w:rsidRPr="00AD66FA" w:rsidRDefault="00173929" w:rsidP="00173929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NF</w:t>
      </w:r>
      <w:r w:rsidR="00347603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: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Non-formulary</w:t>
      </w:r>
    </w:p>
    <w:p w14:paraId="5F4065EA" w14:textId="7C8229A1" w:rsidR="004934D4" w:rsidRPr="00AD66FA" w:rsidRDefault="004934D4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PA</w:t>
      </w:r>
      <w:r w:rsidR="00347603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: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Prior Authorization </w:t>
      </w:r>
    </w:p>
    <w:p w14:paraId="2971532A" w14:textId="05202C80" w:rsidR="00844806" w:rsidRPr="00AD66FA" w:rsidRDefault="004934D4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QL</w:t>
      </w:r>
      <w:r w:rsidR="00347603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: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Quantity Limit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ab/>
      </w:r>
    </w:p>
    <w:p w14:paraId="495D3ADA" w14:textId="6D1B218A" w:rsidR="004934D4" w:rsidRPr="00AD66FA" w:rsidRDefault="004934D4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  <w:sz w:val="20"/>
          <w:szCs w:val="20"/>
        </w:rPr>
      </w:pP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ST</w:t>
      </w:r>
      <w:r w:rsidR="00347603">
        <w:rPr>
          <w:rFonts w:ascii="Verdana" w:eastAsia="Times New Roman" w:hAnsi="Verdana" w:cs="Times New Roman"/>
          <w:bCs/>
          <w:spacing w:val="2"/>
          <w:sz w:val="20"/>
          <w:szCs w:val="20"/>
        </w:rPr>
        <w:t xml:space="preserve">: </w:t>
      </w:r>
      <w:r w:rsidRPr="00AD66FA">
        <w:rPr>
          <w:rFonts w:ascii="Verdana" w:eastAsia="Times New Roman" w:hAnsi="Verdana" w:cs="Times New Roman"/>
          <w:bCs/>
          <w:spacing w:val="2"/>
          <w:sz w:val="20"/>
          <w:szCs w:val="20"/>
        </w:rPr>
        <w:t>Step Therapy</w:t>
      </w:r>
    </w:p>
    <w:p w14:paraId="440A392E" w14:textId="63A1AAD7" w:rsidR="005E2989" w:rsidRDefault="005E2989" w:rsidP="00844806">
      <w:pPr>
        <w:spacing w:before="24"/>
        <w:ind w:right="-20"/>
        <w:rPr>
          <w:rFonts w:ascii="Verdana" w:eastAsia="Times New Roman" w:hAnsi="Verdana" w:cs="Times New Roman"/>
          <w:bCs/>
          <w:spacing w:val="2"/>
        </w:rPr>
      </w:pPr>
    </w:p>
    <w:tbl>
      <w:tblPr>
        <w:tblStyle w:val="LightList-Accent5"/>
        <w:tblW w:w="10890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4B4A2D" w:rsidRPr="00BA7E1A" w14:paraId="39A37783" w14:textId="77777777" w:rsidTr="004A4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shd w:val="clear" w:color="auto" w:fill="00205B"/>
          </w:tcPr>
          <w:p w14:paraId="1C3508E8" w14:textId="27723C7B" w:rsidR="004B4A2D" w:rsidRPr="00852F8C" w:rsidRDefault="004B4A2D" w:rsidP="00FB392C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852F8C">
              <w:rPr>
                <w:rFonts w:ascii="Verdana" w:hAnsi="Verdana"/>
                <w:sz w:val="20"/>
                <w:szCs w:val="20"/>
              </w:rPr>
              <w:t xml:space="preserve">New </w:t>
            </w:r>
            <w:r w:rsidR="004A4967" w:rsidRPr="00852F8C">
              <w:rPr>
                <w:rFonts w:ascii="Verdana" w:hAnsi="Verdana"/>
                <w:sz w:val="20"/>
                <w:szCs w:val="20"/>
              </w:rPr>
              <w:t>Drug</w:t>
            </w:r>
            <w:r w:rsidRPr="00852F8C">
              <w:rPr>
                <w:rFonts w:ascii="Verdana" w:hAnsi="Verdana"/>
                <w:sz w:val="20"/>
                <w:szCs w:val="20"/>
              </w:rPr>
              <w:t xml:space="preserve"> Review </w:t>
            </w:r>
          </w:p>
        </w:tc>
      </w:tr>
    </w:tbl>
    <w:tbl>
      <w:tblPr>
        <w:tblStyle w:val="TableGrid"/>
        <w:tblW w:w="108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240"/>
        <w:gridCol w:w="3150"/>
        <w:gridCol w:w="3060"/>
        <w:gridCol w:w="1440"/>
      </w:tblGrid>
      <w:tr w:rsidR="00E77836" w14:paraId="28A73A21" w14:textId="77777777" w:rsidTr="0073594F">
        <w:tc>
          <w:tcPr>
            <w:tcW w:w="3240" w:type="dxa"/>
          </w:tcPr>
          <w:p w14:paraId="4F2C9E27" w14:textId="77777777" w:rsidR="004B4A2D" w:rsidRPr="00C45D79" w:rsidRDefault="004B4A2D" w:rsidP="00FB392C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 w:rsidRPr="00C45D79">
              <w:rPr>
                <w:rFonts w:ascii="Verdana" w:hAnsi="Verdana"/>
                <w:b/>
                <w:bCs/>
                <w:sz w:val="20"/>
                <w:szCs w:val="20"/>
              </w:rPr>
              <w:t xml:space="preserve">Drug </w:t>
            </w:r>
          </w:p>
        </w:tc>
        <w:tc>
          <w:tcPr>
            <w:tcW w:w="3150" w:type="dxa"/>
          </w:tcPr>
          <w:p w14:paraId="7DBC1588" w14:textId="492A40AC" w:rsidR="004B4A2D" w:rsidRPr="00C45D79" w:rsidRDefault="004B4A2D" w:rsidP="00FB392C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Indication</w:t>
            </w:r>
          </w:p>
        </w:tc>
        <w:tc>
          <w:tcPr>
            <w:tcW w:w="3060" w:type="dxa"/>
          </w:tcPr>
          <w:p w14:paraId="6E42E2D8" w14:textId="302EC425" w:rsidR="004B4A2D" w:rsidRPr="00C45D79" w:rsidRDefault="004B4A2D" w:rsidP="00FB392C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Formulary Coverage</w:t>
            </w:r>
          </w:p>
        </w:tc>
        <w:tc>
          <w:tcPr>
            <w:tcW w:w="1440" w:type="dxa"/>
          </w:tcPr>
          <w:p w14:paraId="3392FAAB" w14:textId="66DD6409" w:rsidR="004B4A2D" w:rsidRPr="00C45D79" w:rsidRDefault="004B4A2D" w:rsidP="00FB392C">
            <w:pPr>
              <w:spacing w:after="24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Effective Date</w:t>
            </w:r>
          </w:p>
        </w:tc>
      </w:tr>
      <w:tr w:rsidR="0073594F" w:rsidRPr="00852F8C" w14:paraId="2427BC04" w14:textId="77777777" w:rsidTr="0073594F">
        <w:tc>
          <w:tcPr>
            <w:tcW w:w="3240" w:type="dxa"/>
          </w:tcPr>
          <w:p w14:paraId="326DCCD2" w14:textId="2CD7E335" w:rsidR="0073594F" w:rsidRPr="002530EB" w:rsidRDefault="00330E7F" w:rsidP="0073594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proofErr w:type="spellStart"/>
            <w:r w:rsidRPr="00330E7F">
              <w:rPr>
                <w:rFonts w:ascii="Verdana" w:hAnsi="Verdana" w:cstheme="minorHAnsi"/>
                <w:sz w:val="20"/>
                <w:szCs w:val="20"/>
              </w:rPr>
              <w:t>Bimzelx</w:t>
            </w:r>
            <w:proofErr w:type="spellEnd"/>
            <w:r w:rsidRPr="00330E7F">
              <w:rPr>
                <w:rFonts w:ascii="Verdana" w:hAnsi="Verdana" w:cstheme="minorHAnsi"/>
                <w:sz w:val="20"/>
                <w:szCs w:val="20"/>
              </w:rPr>
              <w:t xml:space="preserve"> (</w:t>
            </w:r>
            <w:proofErr w:type="spellStart"/>
            <w:r w:rsidRPr="00330E7F">
              <w:rPr>
                <w:rFonts w:ascii="Verdana" w:hAnsi="Verdana" w:cstheme="minorHAnsi"/>
                <w:sz w:val="20"/>
                <w:szCs w:val="20"/>
              </w:rPr>
              <w:t>bimekizumab</w:t>
            </w:r>
            <w:proofErr w:type="spellEnd"/>
            <w:r w:rsidRPr="00330E7F">
              <w:rPr>
                <w:rFonts w:ascii="Verdana" w:hAnsi="Verdana" w:cstheme="minorHAnsi"/>
                <w:sz w:val="20"/>
                <w:szCs w:val="20"/>
              </w:rPr>
              <w:t>)</w:t>
            </w:r>
          </w:p>
        </w:tc>
        <w:tc>
          <w:tcPr>
            <w:tcW w:w="3150" w:type="dxa"/>
          </w:tcPr>
          <w:p w14:paraId="39575D0C" w14:textId="1D59566A" w:rsidR="0073594F" w:rsidRPr="00837406" w:rsidRDefault="00330E7F" w:rsidP="0073594F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330E7F">
              <w:rPr>
                <w:rFonts w:ascii="Verdana" w:hAnsi="Verdana"/>
                <w:sz w:val="20"/>
                <w:szCs w:val="20"/>
              </w:rPr>
              <w:t>Moderate to severe plaque psoriasis (</w:t>
            </w: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PsO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>) in adults who are candidates for systemic therapy or phototherapy.</w:t>
            </w:r>
          </w:p>
        </w:tc>
        <w:tc>
          <w:tcPr>
            <w:tcW w:w="3060" w:type="dxa"/>
          </w:tcPr>
          <w:p w14:paraId="01BA5FB5" w14:textId="77777777" w:rsidR="0073594F" w:rsidRPr="008A03E8" w:rsidRDefault="0073594F" w:rsidP="0073594F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A03E8">
              <w:rPr>
                <w:rFonts w:ascii="Verdana" w:hAnsi="Verdana"/>
                <w:sz w:val="20"/>
                <w:szCs w:val="20"/>
              </w:rPr>
              <w:t>Medicare: Non-Formulary</w:t>
            </w:r>
          </w:p>
          <w:p w14:paraId="65F65D6C" w14:textId="77777777" w:rsidR="0073594F" w:rsidRPr="008A03E8" w:rsidRDefault="0073594F" w:rsidP="0073594F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A03E8">
              <w:rPr>
                <w:rFonts w:ascii="Verdana" w:hAnsi="Verdana"/>
                <w:sz w:val="20"/>
                <w:szCs w:val="20"/>
              </w:rPr>
              <w:t>Medicaid: Non-Formulary</w:t>
            </w:r>
          </w:p>
          <w:p w14:paraId="376ADAB1" w14:textId="77777777" w:rsidR="0073594F" w:rsidRPr="008A03E8" w:rsidRDefault="0073594F" w:rsidP="0073594F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A03E8">
              <w:rPr>
                <w:rFonts w:ascii="Verdana" w:hAnsi="Verdana"/>
                <w:sz w:val="20"/>
                <w:szCs w:val="20"/>
              </w:rPr>
              <w:t>Exchange: Non-Formulary</w:t>
            </w:r>
          </w:p>
          <w:p w14:paraId="22F75EC4" w14:textId="77777777" w:rsidR="0073594F" w:rsidRPr="008A03E8" w:rsidRDefault="0073594F" w:rsidP="0073594F">
            <w:pPr>
              <w:rPr>
                <w:rFonts w:ascii="Verdana" w:hAnsi="Verdana"/>
                <w:sz w:val="20"/>
                <w:szCs w:val="20"/>
              </w:rPr>
            </w:pPr>
          </w:p>
          <w:p w14:paraId="44B475AE" w14:textId="20D84793" w:rsidR="0073594F" w:rsidRPr="008A03E8" w:rsidRDefault="0073594F" w:rsidP="0073594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B112B8" w14:textId="78B85DD8" w:rsidR="0073594F" w:rsidRPr="00852F8C" w:rsidRDefault="0073594F" w:rsidP="0073594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</w:rPr>
              <w:t>NA</w:t>
            </w:r>
          </w:p>
        </w:tc>
      </w:tr>
      <w:tr w:rsidR="0073594F" w:rsidRPr="00852F8C" w14:paraId="12F2BC56" w14:textId="77777777" w:rsidTr="0073594F">
        <w:tc>
          <w:tcPr>
            <w:tcW w:w="3240" w:type="dxa"/>
          </w:tcPr>
          <w:p w14:paraId="2364AE83" w14:textId="1E12F285" w:rsidR="0073594F" w:rsidRPr="002530EB" w:rsidRDefault="00330E7F" w:rsidP="0073594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Truqap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capivasertib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7F3F30" w:rsidRPr="007F3F30">
              <w:rPr>
                <w:rFonts w:ascii="Verdana" w:hAnsi="Verdana"/>
                <w:color w:val="FF0000"/>
                <w:sz w:val="20"/>
                <w:szCs w:val="20"/>
              </w:rPr>
              <w:t>PROTECTED CLASS DRUG</w:t>
            </w:r>
          </w:p>
        </w:tc>
        <w:tc>
          <w:tcPr>
            <w:tcW w:w="3150" w:type="dxa"/>
          </w:tcPr>
          <w:p w14:paraId="68879A63" w14:textId="0E25D3BC" w:rsidR="0073594F" w:rsidRPr="00837406" w:rsidRDefault="00330E7F" w:rsidP="0073594F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330E7F">
              <w:rPr>
                <w:rFonts w:ascii="Verdana" w:hAnsi="Verdana" w:cstheme="minorHAnsi"/>
                <w:sz w:val="20"/>
                <w:szCs w:val="20"/>
              </w:rPr>
              <w:t xml:space="preserve">for the treatment of adults with hormone receptor (HR)-positive, human epidermal growth factor receptor 2 (HER2)-negative, locally </w:t>
            </w:r>
            <w:proofErr w:type="gramStart"/>
            <w:r w:rsidRPr="00330E7F">
              <w:rPr>
                <w:rFonts w:ascii="Verdana" w:hAnsi="Verdana" w:cstheme="minorHAnsi"/>
                <w:sz w:val="20"/>
                <w:szCs w:val="20"/>
              </w:rPr>
              <w:t>advanced</w:t>
            </w:r>
            <w:proofErr w:type="gramEnd"/>
            <w:r w:rsidRPr="00330E7F">
              <w:rPr>
                <w:rFonts w:ascii="Verdana" w:hAnsi="Verdana" w:cstheme="minorHAnsi"/>
                <w:sz w:val="20"/>
                <w:szCs w:val="20"/>
              </w:rPr>
              <w:t xml:space="preserve"> or metastatic breast cancer (</w:t>
            </w:r>
            <w:proofErr w:type="spellStart"/>
            <w:r w:rsidRPr="00330E7F">
              <w:rPr>
                <w:rFonts w:ascii="Verdana" w:hAnsi="Verdana" w:cstheme="minorHAnsi"/>
                <w:sz w:val="20"/>
                <w:szCs w:val="20"/>
              </w:rPr>
              <w:t>mBC</w:t>
            </w:r>
            <w:proofErr w:type="spellEnd"/>
            <w:r w:rsidRPr="00330E7F">
              <w:rPr>
                <w:rFonts w:ascii="Verdana" w:hAnsi="Verdana" w:cstheme="minorHAnsi"/>
                <w:sz w:val="20"/>
                <w:szCs w:val="20"/>
              </w:rPr>
              <w:t xml:space="preserve">) with ≥ 1 PIK3CA/AKT1/PTEN-alteration as detected by an FDA-approved test, following progression on ≥ 1 endocrine-based regimen in </w:t>
            </w:r>
            <w:proofErr w:type="spellStart"/>
            <w:r w:rsidRPr="00330E7F">
              <w:rPr>
                <w:rFonts w:ascii="Verdana" w:hAnsi="Verdana" w:cstheme="minorHAnsi"/>
                <w:sz w:val="20"/>
                <w:szCs w:val="20"/>
              </w:rPr>
              <w:t>mBC</w:t>
            </w:r>
            <w:proofErr w:type="spellEnd"/>
            <w:r w:rsidRPr="00330E7F">
              <w:rPr>
                <w:rFonts w:ascii="Verdana" w:hAnsi="Verdana" w:cstheme="minorHAnsi"/>
                <w:sz w:val="20"/>
                <w:szCs w:val="20"/>
              </w:rPr>
              <w:t xml:space="preserve"> or recurrence on or within 12 months of completing adjuvant therapy, in combination with </w:t>
            </w:r>
            <w:proofErr w:type="spellStart"/>
            <w:r w:rsidRPr="00330E7F">
              <w:rPr>
                <w:rFonts w:ascii="Verdana" w:hAnsi="Verdana" w:cstheme="minorHAnsi"/>
                <w:sz w:val="20"/>
                <w:szCs w:val="20"/>
              </w:rPr>
              <w:t>fulvestrant</w:t>
            </w:r>
            <w:proofErr w:type="spellEnd"/>
            <w:r w:rsidRPr="00330E7F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14:paraId="159C1F16" w14:textId="2BC1C92C" w:rsidR="0073594F" w:rsidRPr="008A03E8" w:rsidRDefault="0073594F" w:rsidP="0073594F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A03E8">
              <w:rPr>
                <w:rFonts w:ascii="Verdana" w:hAnsi="Verdana"/>
                <w:sz w:val="20"/>
                <w:szCs w:val="20"/>
              </w:rPr>
              <w:t>Medicare: Formulary</w:t>
            </w:r>
          </w:p>
          <w:p w14:paraId="21614FCF" w14:textId="444F6C2F" w:rsidR="0073594F" w:rsidRPr="008A03E8" w:rsidRDefault="0073594F" w:rsidP="0073594F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A03E8">
              <w:rPr>
                <w:rFonts w:ascii="Verdana" w:hAnsi="Verdana"/>
                <w:sz w:val="20"/>
                <w:szCs w:val="20"/>
              </w:rPr>
              <w:t>Medicaid: Formulary</w:t>
            </w:r>
          </w:p>
          <w:p w14:paraId="38A6D6B3" w14:textId="35F620B0" w:rsidR="0073594F" w:rsidRPr="008A03E8" w:rsidRDefault="0073594F" w:rsidP="0073594F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A03E8">
              <w:rPr>
                <w:rFonts w:ascii="Verdana" w:hAnsi="Verdana"/>
                <w:sz w:val="20"/>
                <w:szCs w:val="20"/>
              </w:rPr>
              <w:t>Exchange: Formulary</w:t>
            </w:r>
          </w:p>
          <w:p w14:paraId="38B94024" w14:textId="500FF5A0" w:rsidR="0073594F" w:rsidRPr="008A03E8" w:rsidRDefault="0073594F" w:rsidP="0073594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DAE0E7" w14:textId="4F9F6D60" w:rsidR="0073594F" w:rsidRPr="00852F8C" w:rsidRDefault="00330E7F" w:rsidP="0073594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t>08/01/2024</w:t>
            </w:r>
          </w:p>
        </w:tc>
      </w:tr>
      <w:tr w:rsidR="0073594F" w:rsidRPr="00852F8C" w14:paraId="244883DA" w14:textId="77777777" w:rsidTr="0073594F">
        <w:tc>
          <w:tcPr>
            <w:tcW w:w="3240" w:type="dxa"/>
          </w:tcPr>
          <w:p w14:paraId="1CCDF99C" w14:textId="77777777" w:rsidR="0073594F" w:rsidRDefault="00330E7F" w:rsidP="0073594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proofErr w:type="spellStart"/>
            <w:r w:rsidRPr="00330E7F">
              <w:rPr>
                <w:rFonts w:ascii="Verdana" w:eastAsia="Times New Roman" w:hAnsi="Verdana" w:cs="Arial"/>
                <w:sz w:val="20"/>
                <w:szCs w:val="20"/>
              </w:rPr>
              <w:t>Augtyro</w:t>
            </w:r>
            <w:proofErr w:type="spellEnd"/>
            <w:r w:rsidRPr="00330E7F">
              <w:rPr>
                <w:rFonts w:ascii="Verdana" w:eastAsia="Times New Roman" w:hAnsi="Verdana" w:cs="Arial"/>
                <w:sz w:val="20"/>
                <w:szCs w:val="20"/>
              </w:rPr>
              <w:t xml:space="preserve"> (</w:t>
            </w:r>
            <w:proofErr w:type="spellStart"/>
            <w:r w:rsidRPr="00330E7F">
              <w:rPr>
                <w:rFonts w:ascii="Verdana" w:eastAsia="Times New Roman" w:hAnsi="Verdana" w:cs="Arial"/>
                <w:sz w:val="20"/>
                <w:szCs w:val="20"/>
              </w:rPr>
              <w:t>repotrectinib</w:t>
            </w:r>
            <w:proofErr w:type="spellEnd"/>
            <w:r w:rsidRPr="00330E7F">
              <w:rPr>
                <w:rFonts w:ascii="Verdana" w:eastAsia="Times New Roman" w:hAnsi="Verdana" w:cs="Arial"/>
                <w:sz w:val="20"/>
                <w:szCs w:val="20"/>
              </w:rPr>
              <w:t>)</w:t>
            </w:r>
          </w:p>
          <w:p w14:paraId="052FEE7C" w14:textId="24ED8601" w:rsidR="00330E7F" w:rsidRPr="002530EB" w:rsidRDefault="00330E7F" w:rsidP="0073594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F3F30">
              <w:rPr>
                <w:rFonts w:ascii="Verdana" w:hAnsi="Verdana"/>
                <w:color w:val="FF0000"/>
                <w:sz w:val="20"/>
                <w:szCs w:val="20"/>
              </w:rPr>
              <w:t>PROTECTED CLASS DRUG</w:t>
            </w:r>
          </w:p>
        </w:tc>
        <w:tc>
          <w:tcPr>
            <w:tcW w:w="3150" w:type="dxa"/>
          </w:tcPr>
          <w:p w14:paraId="1ADCCA37" w14:textId="34F044ED" w:rsidR="0073594F" w:rsidRPr="00837406" w:rsidRDefault="00330E7F" w:rsidP="0073594F">
            <w:pPr>
              <w:rPr>
                <w:rFonts w:ascii="Verdana" w:hAnsi="Verdana"/>
                <w:sz w:val="20"/>
                <w:szCs w:val="20"/>
              </w:rPr>
            </w:pPr>
            <w:r w:rsidRPr="00330E7F">
              <w:rPr>
                <w:rFonts w:ascii="Verdana" w:hAnsi="Verdana"/>
                <w:sz w:val="20"/>
                <w:szCs w:val="20"/>
              </w:rPr>
              <w:t xml:space="preserve">Treatment of adult patients with locally advanced or metastatic ROS1-positive </w:t>
            </w: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non small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 xml:space="preserve"> cell lung cancer (NSCLC)</w:t>
            </w:r>
          </w:p>
        </w:tc>
        <w:tc>
          <w:tcPr>
            <w:tcW w:w="3060" w:type="dxa"/>
          </w:tcPr>
          <w:p w14:paraId="3AFEF57E" w14:textId="6A1A445D" w:rsidR="0073594F" w:rsidRPr="008A03E8" w:rsidRDefault="0073594F" w:rsidP="0073594F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A03E8">
              <w:rPr>
                <w:rFonts w:ascii="Verdana" w:hAnsi="Verdana"/>
                <w:sz w:val="20"/>
                <w:szCs w:val="20"/>
              </w:rPr>
              <w:t>Medicare: Formulary</w:t>
            </w:r>
          </w:p>
          <w:p w14:paraId="621CBB1D" w14:textId="0CBD8831" w:rsidR="0073594F" w:rsidRPr="008A03E8" w:rsidRDefault="0073594F" w:rsidP="0073594F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A03E8">
              <w:rPr>
                <w:rFonts w:ascii="Verdana" w:hAnsi="Verdana"/>
                <w:sz w:val="20"/>
                <w:szCs w:val="20"/>
              </w:rPr>
              <w:t>Medicaid: Formulary</w:t>
            </w:r>
          </w:p>
          <w:p w14:paraId="0343274C" w14:textId="5E1E828F" w:rsidR="0073594F" w:rsidRPr="008A03E8" w:rsidRDefault="0073594F" w:rsidP="0073594F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A03E8">
              <w:rPr>
                <w:rFonts w:ascii="Verdana" w:hAnsi="Verdana"/>
                <w:sz w:val="20"/>
                <w:szCs w:val="20"/>
              </w:rPr>
              <w:t>Exchange: Formulary</w:t>
            </w:r>
          </w:p>
          <w:p w14:paraId="2C36D2FB" w14:textId="77777777" w:rsidR="0073594F" w:rsidRPr="008A03E8" w:rsidRDefault="0073594F" w:rsidP="0073594F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  <w:p w14:paraId="34C32304" w14:textId="205CA4AD" w:rsidR="0073594F" w:rsidRPr="008A03E8" w:rsidRDefault="0073594F" w:rsidP="0073594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CB19907" w14:textId="60A0857F" w:rsidR="0073594F" w:rsidRPr="00852F8C" w:rsidRDefault="00330E7F" w:rsidP="0073594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t>08/01/2024</w:t>
            </w:r>
          </w:p>
        </w:tc>
      </w:tr>
      <w:tr w:rsidR="0073594F" w:rsidRPr="00852F8C" w14:paraId="4EE1C15E" w14:textId="77777777" w:rsidTr="0073594F">
        <w:tc>
          <w:tcPr>
            <w:tcW w:w="3240" w:type="dxa"/>
          </w:tcPr>
          <w:p w14:paraId="0D0DD312" w14:textId="77777777" w:rsidR="0073594F" w:rsidRDefault="00330E7F" w:rsidP="0073594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proofErr w:type="spellStart"/>
            <w:r w:rsidRPr="00330E7F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Fruzaqla</w:t>
            </w:r>
            <w:proofErr w:type="spellEnd"/>
            <w:r w:rsidRPr="00330E7F">
              <w:rPr>
                <w:rFonts w:ascii="Verdana" w:eastAsia="Times New Roman" w:hAnsi="Verdana" w:cs="Arial"/>
                <w:sz w:val="20"/>
                <w:szCs w:val="20"/>
              </w:rPr>
              <w:t xml:space="preserve"> (</w:t>
            </w:r>
            <w:proofErr w:type="spellStart"/>
            <w:r w:rsidRPr="00330E7F">
              <w:rPr>
                <w:rFonts w:ascii="Verdana" w:eastAsia="Times New Roman" w:hAnsi="Verdana" w:cs="Arial"/>
                <w:sz w:val="20"/>
                <w:szCs w:val="20"/>
              </w:rPr>
              <w:t>fruquintinib</w:t>
            </w:r>
            <w:proofErr w:type="spellEnd"/>
            <w:r w:rsidRPr="00330E7F">
              <w:rPr>
                <w:rFonts w:ascii="Verdana" w:eastAsia="Times New Roman" w:hAnsi="Verdana" w:cs="Arial"/>
                <w:sz w:val="20"/>
                <w:szCs w:val="20"/>
              </w:rPr>
              <w:t>)</w:t>
            </w:r>
          </w:p>
          <w:p w14:paraId="78D228E7" w14:textId="66670273" w:rsidR="00330E7F" w:rsidRPr="002530EB" w:rsidRDefault="00330E7F" w:rsidP="0073594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7F3F30">
              <w:rPr>
                <w:rFonts w:ascii="Verdana" w:hAnsi="Verdana"/>
                <w:color w:val="FF0000"/>
                <w:sz w:val="20"/>
                <w:szCs w:val="20"/>
              </w:rPr>
              <w:t>PROTECTED CLASS DRUG</w:t>
            </w:r>
          </w:p>
        </w:tc>
        <w:tc>
          <w:tcPr>
            <w:tcW w:w="3150" w:type="dxa"/>
          </w:tcPr>
          <w:p w14:paraId="31782812" w14:textId="56BD2197" w:rsidR="0073594F" w:rsidRPr="007F3F30" w:rsidRDefault="00330E7F" w:rsidP="0073594F">
            <w:pPr>
              <w:rPr>
                <w:rFonts w:ascii="Verdana" w:hAnsi="Verdana"/>
                <w:sz w:val="20"/>
                <w:szCs w:val="20"/>
              </w:rPr>
            </w:pPr>
            <w:r w:rsidRPr="00330E7F">
              <w:rPr>
                <w:rFonts w:ascii="Verdana" w:hAnsi="Verdana"/>
                <w:sz w:val="20"/>
                <w:szCs w:val="20"/>
              </w:rPr>
              <w:t>Treatment of adult patients with metastatic colorectal cancer (mCRC) who have been previously treated with fluoropyrimidine-, oxaliplatin-, and irinotecan-based chemotherapy, an anti-vascular endothelial growth factor (VEGF) therapy, and, if rat sarcoma virus (RAS) wild-type and medically appropriate, an anti-epidermal growth factor receptor (EGFR) therapy</w:t>
            </w:r>
          </w:p>
        </w:tc>
        <w:tc>
          <w:tcPr>
            <w:tcW w:w="3060" w:type="dxa"/>
          </w:tcPr>
          <w:p w14:paraId="706EFE7D" w14:textId="09C2289B" w:rsidR="0073594F" w:rsidRPr="008A03E8" w:rsidRDefault="0073594F" w:rsidP="0073594F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A03E8">
              <w:rPr>
                <w:rFonts w:ascii="Verdana" w:hAnsi="Verdana"/>
                <w:sz w:val="20"/>
                <w:szCs w:val="20"/>
              </w:rPr>
              <w:t>Medicare: Formulary</w:t>
            </w:r>
          </w:p>
          <w:p w14:paraId="6D260069" w14:textId="789C7D20" w:rsidR="0073594F" w:rsidRPr="008A03E8" w:rsidRDefault="0073594F" w:rsidP="0073594F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A03E8">
              <w:rPr>
                <w:rFonts w:ascii="Verdana" w:hAnsi="Verdana"/>
                <w:sz w:val="20"/>
                <w:szCs w:val="20"/>
              </w:rPr>
              <w:t>Medicaid: Formulary</w:t>
            </w:r>
          </w:p>
          <w:p w14:paraId="65EAB7D9" w14:textId="26792505" w:rsidR="0073594F" w:rsidRPr="008A03E8" w:rsidRDefault="0073594F" w:rsidP="0073594F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A03E8">
              <w:rPr>
                <w:rFonts w:ascii="Verdana" w:hAnsi="Verdana"/>
                <w:sz w:val="20"/>
                <w:szCs w:val="20"/>
              </w:rPr>
              <w:t>Exchange: Formulary</w:t>
            </w:r>
          </w:p>
          <w:p w14:paraId="69A601A5" w14:textId="77777777" w:rsidR="0073594F" w:rsidRPr="008A03E8" w:rsidRDefault="0073594F" w:rsidP="0073594F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099FF3E" w14:textId="18A3554C" w:rsidR="0073594F" w:rsidRPr="00852F8C" w:rsidRDefault="00330E7F" w:rsidP="0073594F">
            <w:pPr>
              <w:rPr>
                <w:rFonts w:ascii="Verdana" w:hAnsi="Verdana"/>
                <w:sz w:val="20"/>
                <w:szCs w:val="20"/>
              </w:rPr>
            </w:pPr>
            <w:r>
              <w:t>08/01/2024</w:t>
            </w:r>
          </w:p>
        </w:tc>
      </w:tr>
      <w:tr w:rsidR="003E5867" w:rsidRPr="00852F8C" w14:paraId="20D0C506" w14:textId="77777777" w:rsidTr="0073594F">
        <w:tc>
          <w:tcPr>
            <w:tcW w:w="3240" w:type="dxa"/>
          </w:tcPr>
          <w:p w14:paraId="07089E0F" w14:textId="6260D95C" w:rsidR="003E5867" w:rsidRPr="002530EB" w:rsidRDefault="00330E7F" w:rsidP="003E5867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Ojjaara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momelotinib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7F3F30" w:rsidRPr="007F3F30">
              <w:rPr>
                <w:rFonts w:ascii="Verdana" w:hAnsi="Verdana"/>
                <w:color w:val="FF0000"/>
                <w:sz w:val="20"/>
                <w:szCs w:val="20"/>
              </w:rPr>
              <w:t>PROTECTED CLASS DRUG</w:t>
            </w:r>
          </w:p>
        </w:tc>
        <w:tc>
          <w:tcPr>
            <w:tcW w:w="3150" w:type="dxa"/>
          </w:tcPr>
          <w:p w14:paraId="70A454CD" w14:textId="21C543B2" w:rsidR="003E5867" w:rsidRPr="00B01345" w:rsidRDefault="00330E7F" w:rsidP="003E5867">
            <w:pPr>
              <w:rPr>
                <w:rFonts w:ascii="Verdana" w:hAnsi="Verdana" w:cstheme="minorHAnsi"/>
                <w:sz w:val="20"/>
                <w:szCs w:val="20"/>
              </w:rPr>
            </w:pPr>
            <w:r w:rsidRPr="00330E7F">
              <w:rPr>
                <w:rFonts w:ascii="Verdana" w:hAnsi="Verdana" w:cstheme="minorHAnsi"/>
                <w:sz w:val="20"/>
                <w:szCs w:val="20"/>
              </w:rPr>
              <w:t>Treatment of intermediate or high-risk myelofibrosis (MF), including primary MF or secondary MF (post-polycythemia vera [PV] and post-essential thrombocythemia [ET]), in adults with anemia</w:t>
            </w:r>
          </w:p>
        </w:tc>
        <w:tc>
          <w:tcPr>
            <w:tcW w:w="3060" w:type="dxa"/>
          </w:tcPr>
          <w:p w14:paraId="3F7B4CEC" w14:textId="75119014" w:rsidR="003E5867" w:rsidRPr="008A03E8" w:rsidRDefault="003E5867" w:rsidP="003E586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A03E8">
              <w:rPr>
                <w:rFonts w:ascii="Verdana" w:hAnsi="Verdana"/>
                <w:sz w:val="20"/>
                <w:szCs w:val="20"/>
              </w:rPr>
              <w:t>Medicare: Formulary</w:t>
            </w:r>
          </w:p>
          <w:p w14:paraId="7842C329" w14:textId="3DD14521" w:rsidR="003E5867" w:rsidRPr="008A03E8" w:rsidRDefault="003E5867" w:rsidP="003E586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A03E8">
              <w:rPr>
                <w:rFonts w:ascii="Verdana" w:hAnsi="Verdana"/>
                <w:sz w:val="20"/>
                <w:szCs w:val="20"/>
              </w:rPr>
              <w:t>Medicaid: Formulary</w:t>
            </w:r>
          </w:p>
          <w:p w14:paraId="3445FC66" w14:textId="2055E91E" w:rsidR="003E5867" w:rsidRPr="008A03E8" w:rsidRDefault="003E5867" w:rsidP="003E586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  <w:r w:rsidRPr="008A03E8">
              <w:rPr>
                <w:rFonts w:ascii="Verdana" w:hAnsi="Verdana"/>
                <w:sz w:val="20"/>
                <w:szCs w:val="20"/>
              </w:rPr>
              <w:t>Exchange: Formulary</w:t>
            </w:r>
          </w:p>
          <w:p w14:paraId="6B5634E1" w14:textId="77777777" w:rsidR="003E5867" w:rsidRPr="008A03E8" w:rsidRDefault="003E5867" w:rsidP="003E586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537980B" w14:textId="74716C51" w:rsidR="003E5867" w:rsidRDefault="009E4205" w:rsidP="003E5867">
            <w:pPr>
              <w:rPr>
                <w:rFonts w:ascii="Verdana" w:hAnsi="Verdana"/>
                <w:sz w:val="20"/>
                <w:szCs w:val="20"/>
              </w:rPr>
            </w:pPr>
            <w:r>
              <w:t>0</w:t>
            </w:r>
            <w:r w:rsidR="00330E7F">
              <w:t>8</w:t>
            </w:r>
            <w:r>
              <w:t>/01/2024</w:t>
            </w:r>
          </w:p>
        </w:tc>
      </w:tr>
    </w:tbl>
    <w:p w14:paraId="30725D2E" w14:textId="2E6D7891" w:rsidR="00C36463" w:rsidRPr="00852F8C" w:rsidRDefault="00C36463">
      <w:pPr>
        <w:spacing w:line="200" w:lineRule="exact"/>
        <w:rPr>
          <w:rFonts w:ascii="Verdana" w:hAnsi="Verdana"/>
          <w:sz w:val="20"/>
          <w:szCs w:val="20"/>
        </w:rPr>
      </w:pPr>
    </w:p>
    <w:p w14:paraId="38B717C3" w14:textId="77777777" w:rsidR="00C36463" w:rsidRPr="00852F8C" w:rsidRDefault="00C36463">
      <w:pPr>
        <w:spacing w:line="200" w:lineRule="exact"/>
        <w:rPr>
          <w:rFonts w:ascii="Verdana" w:hAnsi="Verdana"/>
          <w:sz w:val="20"/>
          <w:szCs w:val="20"/>
        </w:rPr>
      </w:pPr>
    </w:p>
    <w:p w14:paraId="571B2695" w14:textId="0A8374AE" w:rsidR="001B05E8" w:rsidRPr="00015A48" w:rsidRDefault="000A6E31" w:rsidP="00015A48">
      <w:pPr>
        <w:spacing w:line="200" w:lineRule="exact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852F8C">
        <w:rPr>
          <w:rFonts w:ascii="Verdana" w:eastAsia="Times New Roman" w:hAnsi="Verdana" w:cs="Arial"/>
          <w:b/>
          <w:sz w:val="20"/>
          <w:szCs w:val="20"/>
        </w:rPr>
        <w:t xml:space="preserve">Formulary changes for New Generics, New Indications and Miscellaneous Previously Reviewed drugs are effective </w:t>
      </w:r>
      <w:r w:rsidR="0081196F">
        <w:rPr>
          <w:rFonts w:ascii="Verdana" w:eastAsia="Times New Roman" w:hAnsi="Verdana" w:cs="Arial"/>
          <w:b/>
          <w:sz w:val="20"/>
          <w:szCs w:val="20"/>
        </w:rPr>
        <w:t>0</w:t>
      </w:r>
      <w:r w:rsidR="00330E7F">
        <w:rPr>
          <w:rFonts w:ascii="Verdana" w:eastAsia="Times New Roman" w:hAnsi="Verdana" w:cs="Arial"/>
          <w:b/>
          <w:sz w:val="20"/>
          <w:szCs w:val="20"/>
        </w:rPr>
        <w:t>8</w:t>
      </w:r>
      <w:r w:rsidR="00BE479A">
        <w:rPr>
          <w:rFonts w:ascii="Verdana" w:eastAsia="Times New Roman" w:hAnsi="Verdana" w:cs="Arial"/>
          <w:b/>
          <w:sz w:val="20"/>
          <w:szCs w:val="20"/>
        </w:rPr>
        <w:t>/01</w:t>
      </w:r>
      <w:r w:rsidRPr="00BE479A">
        <w:rPr>
          <w:rFonts w:ascii="Verdana" w:eastAsia="Times New Roman" w:hAnsi="Verdana" w:cs="Arial"/>
          <w:b/>
          <w:sz w:val="20"/>
          <w:szCs w:val="20"/>
        </w:rPr>
        <w:t>/202</w:t>
      </w:r>
      <w:r w:rsidR="0081196F">
        <w:rPr>
          <w:rFonts w:ascii="Verdana" w:eastAsia="Times New Roman" w:hAnsi="Verdana" w:cs="Arial"/>
          <w:b/>
          <w:sz w:val="20"/>
          <w:szCs w:val="20"/>
        </w:rPr>
        <w:t>4</w:t>
      </w:r>
      <w:r w:rsidRPr="00BE479A">
        <w:rPr>
          <w:rFonts w:ascii="Verdana" w:eastAsia="Times New Roman" w:hAnsi="Verdana" w:cs="Arial"/>
          <w:b/>
          <w:sz w:val="20"/>
          <w:szCs w:val="20"/>
        </w:rPr>
        <w:t>.</w:t>
      </w:r>
    </w:p>
    <w:p w14:paraId="4909B206" w14:textId="77777777" w:rsidR="001B05E8" w:rsidRPr="00852F8C" w:rsidRDefault="001B05E8" w:rsidP="006B16C1">
      <w:pPr>
        <w:rPr>
          <w:rFonts w:ascii="Verdana" w:eastAsia="Times New Roman" w:hAnsi="Verdana" w:cs="Arial"/>
          <w:b/>
          <w:sz w:val="20"/>
          <w:szCs w:val="20"/>
          <w:u w:val="single"/>
        </w:rPr>
      </w:pPr>
    </w:p>
    <w:tbl>
      <w:tblPr>
        <w:tblStyle w:val="LightList-Accent5"/>
        <w:tblW w:w="10885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85"/>
      </w:tblGrid>
      <w:tr w:rsidR="00153FC2" w:rsidRPr="00852F8C" w14:paraId="2C07B094" w14:textId="77777777" w:rsidTr="00D901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00205B"/>
          </w:tcPr>
          <w:p w14:paraId="71E652E9" w14:textId="77777777" w:rsidR="004C5F89" w:rsidRPr="00852F8C" w:rsidRDefault="00153FC2" w:rsidP="005247AA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bookmarkStart w:id="0" w:name="_Hlk98851985"/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New Indications Review </w:t>
            </w:r>
          </w:p>
        </w:tc>
      </w:tr>
    </w:tbl>
    <w:tbl>
      <w:tblPr>
        <w:tblStyle w:val="TableGrid"/>
        <w:tblW w:w="10917" w:type="dxa"/>
        <w:tblInd w:w="-95" w:type="dxa"/>
        <w:tblLook w:val="04A0" w:firstRow="1" w:lastRow="0" w:firstColumn="1" w:lastColumn="0" w:noHBand="0" w:noVBand="1"/>
      </w:tblPr>
      <w:tblGrid>
        <w:gridCol w:w="2430"/>
        <w:gridCol w:w="4230"/>
        <w:gridCol w:w="4257"/>
      </w:tblGrid>
      <w:tr w:rsidR="004F2F90" w:rsidRPr="00852F8C" w14:paraId="4B7C4753" w14:textId="77777777" w:rsidTr="00296E12">
        <w:trPr>
          <w:trHeight w:val="566"/>
        </w:trPr>
        <w:tc>
          <w:tcPr>
            <w:tcW w:w="2430" w:type="dxa"/>
          </w:tcPr>
          <w:p w14:paraId="48E65DDF" w14:textId="5B200CEC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Drug</w:t>
            </w:r>
          </w:p>
        </w:tc>
        <w:tc>
          <w:tcPr>
            <w:tcW w:w="4230" w:type="dxa"/>
          </w:tcPr>
          <w:p w14:paraId="48AC1C2A" w14:textId="4EC1C9F5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sz w:val="20"/>
                <w:szCs w:val="20"/>
              </w:rPr>
              <w:t>Current formulary status</w:t>
            </w:r>
          </w:p>
        </w:tc>
        <w:tc>
          <w:tcPr>
            <w:tcW w:w="4257" w:type="dxa"/>
          </w:tcPr>
          <w:p w14:paraId="0DC14B8E" w14:textId="39AC6804" w:rsidR="004F2F90" w:rsidRPr="00852F8C" w:rsidRDefault="004F2F90" w:rsidP="004F2F90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sz w:val="20"/>
                <w:szCs w:val="20"/>
              </w:rPr>
              <w:t>Recommendation</w:t>
            </w:r>
          </w:p>
        </w:tc>
      </w:tr>
      <w:bookmarkEnd w:id="0"/>
      <w:tr w:rsidR="0099506A" w:rsidRPr="00852F8C" w14:paraId="1B56CDD1" w14:textId="77777777" w:rsidTr="00296E12">
        <w:tc>
          <w:tcPr>
            <w:tcW w:w="2430" w:type="dxa"/>
            <w:shd w:val="clear" w:color="auto" w:fill="auto"/>
          </w:tcPr>
          <w:p w14:paraId="79C91297" w14:textId="52A7213E" w:rsidR="0099506A" w:rsidRPr="00852F8C" w:rsidRDefault="00330E7F" w:rsidP="0099506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Fanapt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 xml:space="preserve"> (iloperidone) 1, 2, 4, 6, 8, 10, &amp; 12 mg tablets for acute treatment of manic or mixed episodes associated with bipolar I disorder in adults</w:t>
            </w:r>
            <w:r w:rsidRPr="00330E7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shd w:val="clear" w:color="auto" w:fill="auto"/>
          </w:tcPr>
          <w:p w14:paraId="7E16FBC7" w14:textId="3CCE4983" w:rsidR="009E4205" w:rsidRPr="00B01345" w:rsidRDefault="009E4205" w:rsidP="009E4205">
            <w:pPr>
              <w:rPr>
                <w:rFonts w:ascii="Verdana" w:hAnsi="Verdana"/>
                <w:sz w:val="20"/>
                <w:szCs w:val="20"/>
              </w:rPr>
            </w:pPr>
            <w:r w:rsidRPr="00B01345">
              <w:rPr>
                <w:rFonts w:ascii="Verdana" w:hAnsi="Verdana"/>
                <w:sz w:val="20"/>
                <w:szCs w:val="20"/>
              </w:rPr>
              <w:t xml:space="preserve">Medicare –F, </w:t>
            </w:r>
            <w:r>
              <w:rPr>
                <w:rFonts w:ascii="Verdana" w:hAnsi="Verdana"/>
                <w:sz w:val="20"/>
                <w:szCs w:val="20"/>
              </w:rPr>
              <w:t xml:space="preserve">PPO – F, </w:t>
            </w:r>
            <w:r w:rsidRPr="00B01345">
              <w:rPr>
                <w:rFonts w:ascii="Verdana" w:hAnsi="Verdana"/>
                <w:sz w:val="20"/>
                <w:szCs w:val="20"/>
              </w:rPr>
              <w:t>Medicaid – F, HIX –</w:t>
            </w:r>
            <w:r w:rsidR="00330E7F">
              <w:rPr>
                <w:rFonts w:ascii="Verdana" w:hAnsi="Verdana"/>
                <w:sz w:val="20"/>
                <w:szCs w:val="20"/>
              </w:rPr>
              <w:t>N</w:t>
            </w:r>
            <w:r w:rsidRPr="00B01345">
              <w:rPr>
                <w:rFonts w:ascii="Verdana" w:hAnsi="Verdana"/>
                <w:sz w:val="20"/>
                <w:szCs w:val="20"/>
              </w:rPr>
              <w:t>F</w:t>
            </w:r>
          </w:p>
          <w:p w14:paraId="31DB2A16" w14:textId="1E15B213" w:rsidR="0099506A" w:rsidRPr="00852F8C" w:rsidRDefault="0099506A" w:rsidP="0099506A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687708E5" w14:textId="6C33D19C" w:rsidR="009E4205" w:rsidRPr="00B01345" w:rsidRDefault="00330E7F" w:rsidP="009E42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 change</w:t>
            </w:r>
          </w:p>
          <w:p w14:paraId="3FEA51F4" w14:textId="3503BEF9" w:rsidR="0099506A" w:rsidRPr="00852F8C" w:rsidRDefault="0099506A" w:rsidP="0099506A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99506A" w:rsidRPr="00852F8C" w14:paraId="40C03084" w14:textId="77777777" w:rsidTr="00BD0C1E">
        <w:trPr>
          <w:trHeight w:val="503"/>
        </w:trPr>
        <w:tc>
          <w:tcPr>
            <w:tcW w:w="2430" w:type="dxa"/>
            <w:shd w:val="clear" w:color="auto" w:fill="auto"/>
          </w:tcPr>
          <w:p w14:paraId="6C228C09" w14:textId="4BE58D3C" w:rsidR="0099506A" w:rsidRPr="00852F8C" w:rsidRDefault="00330E7F" w:rsidP="0099506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Dovato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 xml:space="preserve"> (dolutegravir and lamivudine) 50 mg-300 mg tablet for HIV-1 in patients ≥ 12 age </w:t>
            </w: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expansione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 xml:space="preserve"> regimen for complete HIV-1 expanded indication</w:t>
            </w:r>
            <w:r w:rsidRPr="00330E7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shd w:val="clear" w:color="auto" w:fill="auto"/>
          </w:tcPr>
          <w:p w14:paraId="62A47D9A" w14:textId="6C08CC6C" w:rsidR="009E4205" w:rsidRPr="00205EDD" w:rsidRDefault="009E4205" w:rsidP="009E4205">
            <w:pPr>
              <w:rPr>
                <w:rFonts w:ascii="Verdana" w:hAnsi="Verdana"/>
                <w:sz w:val="20"/>
                <w:szCs w:val="20"/>
              </w:rPr>
            </w:pPr>
            <w:r w:rsidRPr="00205EDD">
              <w:rPr>
                <w:rFonts w:ascii="Verdana" w:hAnsi="Verdana"/>
                <w:sz w:val="20"/>
                <w:szCs w:val="20"/>
              </w:rPr>
              <w:t>Medicare –F,</w:t>
            </w:r>
            <w:r>
              <w:rPr>
                <w:rFonts w:ascii="Verdana" w:hAnsi="Verdana"/>
                <w:sz w:val="20"/>
                <w:szCs w:val="20"/>
              </w:rPr>
              <w:t xml:space="preserve"> PPO – F, </w:t>
            </w:r>
            <w:r w:rsidRPr="00205EDD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N</w:t>
            </w:r>
            <w:r w:rsidRPr="00205EDD">
              <w:rPr>
                <w:rFonts w:ascii="Verdana" w:hAnsi="Verdana"/>
                <w:sz w:val="20"/>
                <w:szCs w:val="20"/>
              </w:rPr>
              <w:t>F, HIX – F</w:t>
            </w:r>
          </w:p>
          <w:p w14:paraId="04632F8E" w14:textId="38C9CF0D" w:rsidR="0099506A" w:rsidRPr="00852F8C" w:rsidRDefault="0099506A" w:rsidP="0099506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375DE30A" w14:textId="65590F28" w:rsidR="009E4205" w:rsidRPr="00205EDD" w:rsidRDefault="00330E7F" w:rsidP="009E42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 change</w:t>
            </w:r>
          </w:p>
          <w:p w14:paraId="6C241ED8" w14:textId="19003A50" w:rsidR="0099506A" w:rsidRPr="00BD0C1E" w:rsidRDefault="0099506A" w:rsidP="0099506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E4205" w:rsidRPr="00852F8C" w14:paraId="7403E543" w14:textId="77777777" w:rsidTr="00296E12">
        <w:tc>
          <w:tcPr>
            <w:tcW w:w="2430" w:type="dxa"/>
            <w:shd w:val="clear" w:color="auto" w:fill="auto"/>
          </w:tcPr>
          <w:p w14:paraId="28120F19" w14:textId="2419A9C3" w:rsidR="009E4205" w:rsidRPr="00852F8C" w:rsidRDefault="00330E7F" w:rsidP="009E4205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Vemlidy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 xml:space="preserve"> (tenofovir alafenamide) 25 mg tablet for hepatitis B </w:t>
            </w:r>
            <w:r w:rsidRPr="00330E7F">
              <w:rPr>
                <w:rFonts w:ascii="Verdana" w:hAnsi="Verdana"/>
                <w:sz w:val="20"/>
                <w:szCs w:val="20"/>
              </w:rPr>
              <w:lastRenderedPageBreak/>
              <w:t>in patients ≥ 6 age expansion</w:t>
            </w:r>
          </w:p>
        </w:tc>
        <w:tc>
          <w:tcPr>
            <w:tcW w:w="4230" w:type="dxa"/>
            <w:shd w:val="clear" w:color="auto" w:fill="auto"/>
          </w:tcPr>
          <w:p w14:paraId="263320EC" w14:textId="09048E4A" w:rsidR="009E4205" w:rsidRPr="00205EDD" w:rsidRDefault="009E4205" w:rsidP="009E4205">
            <w:pPr>
              <w:rPr>
                <w:rFonts w:ascii="Verdana" w:hAnsi="Verdana"/>
                <w:sz w:val="20"/>
                <w:szCs w:val="20"/>
              </w:rPr>
            </w:pPr>
            <w:r w:rsidRPr="00205EDD">
              <w:rPr>
                <w:rFonts w:ascii="Verdana" w:hAnsi="Verdana"/>
                <w:sz w:val="20"/>
                <w:szCs w:val="20"/>
              </w:rPr>
              <w:lastRenderedPageBreak/>
              <w:t>Medicare –F,</w:t>
            </w:r>
            <w:r>
              <w:rPr>
                <w:rFonts w:ascii="Verdana" w:hAnsi="Verdana"/>
                <w:sz w:val="20"/>
                <w:szCs w:val="20"/>
              </w:rPr>
              <w:t xml:space="preserve"> PPO –F, </w:t>
            </w:r>
            <w:r w:rsidRPr="00205EDD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N</w:t>
            </w:r>
            <w:r w:rsidRPr="00205EDD">
              <w:rPr>
                <w:rFonts w:ascii="Verdana" w:hAnsi="Verdana"/>
                <w:sz w:val="20"/>
                <w:szCs w:val="20"/>
              </w:rPr>
              <w:t>F, HIX –F</w:t>
            </w:r>
          </w:p>
          <w:p w14:paraId="57D9EF13" w14:textId="77A907C7" w:rsidR="009E4205" w:rsidRPr="00852F8C" w:rsidRDefault="009E4205" w:rsidP="009E420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1BA66E00" w14:textId="755CEF2B" w:rsidR="009E4205" w:rsidRPr="00205EDD" w:rsidRDefault="00330E7F" w:rsidP="009E42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 change</w:t>
            </w:r>
          </w:p>
          <w:p w14:paraId="5EB58032" w14:textId="1F03B6C9" w:rsidR="009E4205" w:rsidRPr="00852F8C" w:rsidRDefault="009E4205" w:rsidP="009E420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99506A" w:rsidRPr="00852F8C" w14:paraId="7F7B60B7" w14:textId="77777777" w:rsidTr="00296E12">
        <w:tc>
          <w:tcPr>
            <w:tcW w:w="2430" w:type="dxa"/>
            <w:shd w:val="clear" w:color="auto" w:fill="auto"/>
          </w:tcPr>
          <w:p w14:paraId="547F3925" w14:textId="4B92A11D" w:rsidR="0099506A" w:rsidRPr="006E7EE6" w:rsidRDefault="00330E7F" w:rsidP="0099506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Nexletol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bempedoic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 xml:space="preserve"> acid) 180 mg tablets and </w:t>
            </w: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Nexlizet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bempedoic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 xml:space="preserve"> acid and ezetimibe) 180 mg-10 mg tablets for primary &amp; secondary prevention of MI and coronary revascularization in adults</w:t>
            </w:r>
            <w:r w:rsidRPr="00330E7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shd w:val="clear" w:color="auto" w:fill="auto"/>
          </w:tcPr>
          <w:p w14:paraId="05A044DC" w14:textId="0793E285" w:rsidR="009E4205" w:rsidRPr="001B3DFC" w:rsidRDefault="009E4205" w:rsidP="009E4205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>Medicare –</w:t>
            </w:r>
            <w:r w:rsidR="00330E7F">
              <w:rPr>
                <w:rFonts w:ascii="Verdana" w:hAnsi="Verdana"/>
                <w:sz w:val="20"/>
                <w:szCs w:val="20"/>
              </w:rPr>
              <w:t>N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F, </w:t>
            </w:r>
            <w:r>
              <w:rPr>
                <w:rFonts w:ascii="Verdana" w:hAnsi="Verdana"/>
                <w:sz w:val="20"/>
                <w:szCs w:val="20"/>
              </w:rPr>
              <w:t xml:space="preserve">PPO – </w:t>
            </w:r>
            <w:r w:rsidR="00330E7F">
              <w:rPr>
                <w:rFonts w:ascii="Verdana" w:hAnsi="Verdana"/>
                <w:sz w:val="20"/>
                <w:szCs w:val="20"/>
              </w:rPr>
              <w:t>N</w:t>
            </w:r>
            <w:r>
              <w:rPr>
                <w:rFonts w:ascii="Verdana" w:hAnsi="Verdana"/>
                <w:sz w:val="20"/>
                <w:szCs w:val="20"/>
              </w:rPr>
              <w:t xml:space="preserve">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 w:rsidR="00330E7F">
              <w:rPr>
                <w:rFonts w:ascii="Verdana" w:hAnsi="Verdana"/>
                <w:sz w:val="20"/>
                <w:szCs w:val="20"/>
              </w:rPr>
              <w:t>N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F, HIX – </w:t>
            </w:r>
            <w:r w:rsidR="00330E7F">
              <w:rPr>
                <w:rFonts w:ascii="Verdana" w:hAnsi="Verdana"/>
                <w:sz w:val="20"/>
                <w:szCs w:val="20"/>
              </w:rPr>
              <w:t>N</w:t>
            </w:r>
            <w:r w:rsidRPr="001B3DFC">
              <w:rPr>
                <w:rFonts w:ascii="Verdana" w:hAnsi="Verdana"/>
                <w:sz w:val="20"/>
                <w:szCs w:val="20"/>
              </w:rPr>
              <w:t>F</w:t>
            </w:r>
          </w:p>
          <w:p w14:paraId="2FC01962" w14:textId="0F11B9BE" w:rsidR="0099506A" w:rsidRPr="00852F8C" w:rsidRDefault="0099506A" w:rsidP="0099506A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65484D3D" w14:textId="5B87B420" w:rsidR="009E4205" w:rsidRPr="001B3DFC" w:rsidRDefault="00330E7F" w:rsidP="009E42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 change</w:t>
            </w:r>
          </w:p>
          <w:p w14:paraId="779A8F60" w14:textId="06EB5F60" w:rsidR="0099506A" w:rsidRPr="00852F8C" w:rsidRDefault="0099506A" w:rsidP="0099506A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99506A" w:rsidRPr="00852F8C" w14:paraId="72856C60" w14:textId="77777777" w:rsidTr="00296E12">
        <w:tc>
          <w:tcPr>
            <w:tcW w:w="2430" w:type="dxa"/>
            <w:shd w:val="clear" w:color="auto" w:fill="auto"/>
          </w:tcPr>
          <w:p w14:paraId="38BEAD85" w14:textId="69C09895" w:rsidR="0099506A" w:rsidRPr="006E7EE6" w:rsidRDefault="00330E7F" w:rsidP="0099506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Ixinity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 xml:space="preserve"> (coagulation factor IX, recombinant) 250, 500, 1000, 1500, 2000, &amp; 3000 IU vials for hemophilia B age expansion</w:t>
            </w:r>
            <w:r w:rsidRPr="00330E7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shd w:val="clear" w:color="auto" w:fill="auto"/>
          </w:tcPr>
          <w:p w14:paraId="677CE090" w14:textId="1CF4FC8A" w:rsidR="009E4205" w:rsidRPr="001B3DFC" w:rsidRDefault="00AB22E9" w:rsidP="009E42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Part B </w:t>
            </w:r>
            <w:r w:rsidR="009E4205" w:rsidRPr="001B3DFC">
              <w:rPr>
                <w:rFonts w:ascii="Verdana" w:hAnsi="Verdana"/>
                <w:sz w:val="20"/>
                <w:szCs w:val="20"/>
              </w:rPr>
              <w:t xml:space="preserve">Medicare –F, </w:t>
            </w:r>
            <w:r w:rsidR="009E4205">
              <w:rPr>
                <w:rFonts w:ascii="Verdana" w:hAnsi="Verdana"/>
                <w:sz w:val="20"/>
                <w:szCs w:val="20"/>
              </w:rPr>
              <w:t xml:space="preserve">PPO – F, </w:t>
            </w:r>
            <w:r w:rsidR="009E4205" w:rsidRPr="001B3DFC">
              <w:rPr>
                <w:rFonts w:ascii="Verdana" w:hAnsi="Verdana"/>
                <w:sz w:val="20"/>
                <w:szCs w:val="20"/>
              </w:rPr>
              <w:t>Medicaid – F, HIX – F</w:t>
            </w:r>
          </w:p>
          <w:p w14:paraId="0613AA00" w14:textId="77777777" w:rsidR="0099506A" w:rsidRPr="00F16A1F" w:rsidRDefault="0099506A" w:rsidP="0099506A">
            <w:p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40A1AC3F" w14:textId="5EDAEA84" w:rsidR="009E4205" w:rsidRPr="001B3DFC" w:rsidRDefault="00AB22E9" w:rsidP="009E42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 change</w:t>
            </w:r>
          </w:p>
          <w:p w14:paraId="3B6D7DF1" w14:textId="77777777" w:rsidR="0099506A" w:rsidRPr="00F16A1F" w:rsidRDefault="0099506A" w:rsidP="0099506A">
            <w:p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9E4205" w:rsidRPr="00852F8C" w14:paraId="17CA87CD" w14:textId="77777777" w:rsidTr="00296E12">
        <w:tc>
          <w:tcPr>
            <w:tcW w:w="2430" w:type="dxa"/>
            <w:shd w:val="clear" w:color="auto" w:fill="auto"/>
          </w:tcPr>
          <w:p w14:paraId="69CC1936" w14:textId="595F2223" w:rsidR="009E4205" w:rsidRPr="00BD0C1E" w:rsidRDefault="00330E7F" w:rsidP="009E4205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Enhertu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 xml:space="preserve"> (fam-trastuzumab </w:t>
            </w: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deruxtecan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>) 100 mg for IV infusion for unresectable or metastatic HER2-positive (IHC 3+) solid tumors</w:t>
            </w:r>
          </w:p>
        </w:tc>
        <w:tc>
          <w:tcPr>
            <w:tcW w:w="4230" w:type="dxa"/>
            <w:shd w:val="clear" w:color="auto" w:fill="auto"/>
          </w:tcPr>
          <w:p w14:paraId="4630ECAC" w14:textId="7D2B10BD" w:rsidR="009E4205" w:rsidRPr="001B3DFC" w:rsidRDefault="009E4205" w:rsidP="009E4205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>Medicare –</w:t>
            </w:r>
            <w:r w:rsidR="00AB22E9">
              <w:rPr>
                <w:rFonts w:ascii="Verdana" w:hAnsi="Verdana"/>
                <w:sz w:val="20"/>
                <w:szCs w:val="20"/>
              </w:rPr>
              <w:t>N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F, </w:t>
            </w:r>
            <w:r>
              <w:rPr>
                <w:rFonts w:ascii="Verdana" w:hAnsi="Verdana"/>
                <w:sz w:val="20"/>
                <w:szCs w:val="20"/>
              </w:rPr>
              <w:t xml:space="preserve">PPO – </w:t>
            </w:r>
            <w:r w:rsidR="00AB22E9">
              <w:rPr>
                <w:rFonts w:ascii="Verdana" w:hAnsi="Verdana"/>
                <w:sz w:val="20"/>
                <w:szCs w:val="20"/>
              </w:rPr>
              <w:t>N</w:t>
            </w:r>
            <w:r>
              <w:rPr>
                <w:rFonts w:ascii="Verdana" w:hAnsi="Verdana"/>
                <w:sz w:val="20"/>
                <w:szCs w:val="20"/>
              </w:rPr>
              <w:t xml:space="preserve">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 w:rsidR="00AB22E9">
              <w:rPr>
                <w:rFonts w:ascii="Verdana" w:hAnsi="Verdana"/>
                <w:sz w:val="20"/>
                <w:szCs w:val="20"/>
              </w:rPr>
              <w:t>N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1B3DFC">
              <w:rPr>
                <w:rFonts w:ascii="Verdana" w:hAnsi="Verdana"/>
                <w:sz w:val="20"/>
                <w:szCs w:val="20"/>
              </w:rPr>
              <w:t>, HIX - NF</w:t>
            </w:r>
          </w:p>
          <w:p w14:paraId="6123F80A" w14:textId="77777777" w:rsidR="009E4205" w:rsidRPr="00236E5A" w:rsidRDefault="009E4205" w:rsidP="009E4205">
            <w:pPr>
              <w:rPr>
                <w:rFonts w:ascii="Verdana" w:hAnsi="Verdana"/>
                <w:sz w:val="20"/>
                <w:szCs w:val="20"/>
              </w:rPr>
            </w:pPr>
          </w:p>
          <w:p w14:paraId="55F02075" w14:textId="77777777" w:rsidR="009E4205" w:rsidRPr="00F16A1F" w:rsidRDefault="009E4205" w:rsidP="009E4205">
            <w:p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74CA50C5" w14:textId="49859912" w:rsidR="009E4205" w:rsidRPr="001B3DFC" w:rsidRDefault="00AB22E9" w:rsidP="009E42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 change</w:t>
            </w:r>
          </w:p>
          <w:p w14:paraId="6C2E9D22" w14:textId="77777777" w:rsidR="009E4205" w:rsidRPr="00236E5A" w:rsidRDefault="009E4205" w:rsidP="009E4205">
            <w:pPr>
              <w:rPr>
                <w:rFonts w:ascii="Verdana" w:hAnsi="Verdana"/>
                <w:sz w:val="20"/>
                <w:szCs w:val="20"/>
              </w:rPr>
            </w:pPr>
          </w:p>
          <w:p w14:paraId="7819FB4C" w14:textId="77777777" w:rsidR="009E4205" w:rsidRPr="00F16A1F" w:rsidRDefault="009E4205" w:rsidP="009E4205">
            <w:p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99506A" w:rsidRPr="00852F8C" w14:paraId="7FD52854" w14:textId="77777777" w:rsidTr="00296E12">
        <w:tc>
          <w:tcPr>
            <w:tcW w:w="2430" w:type="dxa"/>
            <w:shd w:val="clear" w:color="auto" w:fill="auto"/>
          </w:tcPr>
          <w:p w14:paraId="373A5CE6" w14:textId="77777777" w:rsidR="00330E7F" w:rsidRPr="00330E7F" w:rsidRDefault="00330E7F" w:rsidP="00330E7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Tivdak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tisotumab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30E7F">
              <w:rPr>
                <w:rFonts w:ascii="Verdana" w:hAnsi="Verdana"/>
                <w:sz w:val="20"/>
                <w:szCs w:val="20"/>
              </w:rPr>
              <w:t>vedotin</w:t>
            </w:r>
            <w:proofErr w:type="spellEnd"/>
            <w:r w:rsidRPr="00330E7F">
              <w:rPr>
                <w:rFonts w:ascii="Verdana" w:hAnsi="Verdana"/>
                <w:sz w:val="20"/>
                <w:szCs w:val="20"/>
              </w:rPr>
              <w:t>) 40 mg vial for IV infusion for recurrent</w:t>
            </w:r>
          </w:p>
          <w:p w14:paraId="71BB1DA5" w14:textId="18839831" w:rsidR="0099506A" w:rsidRPr="00BD0C1E" w:rsidRDefault="00330E7F" w:rsidP="00330E7F">
            <w:pPr>
              <w:rPr>
                <w:rFonts w:ascii="Verdana" w:hAnsi="Verdana"/>
                <w:sz w:val="20"/>
                <w:szCs w:val="20"/>
              </w:rPr>
            </w:pPr>
            <w:r w:rsidRPr="00330E7F">
              <w:rPr>
                <w:rFonts w:ascii="Verdana" w:hAnsi="Verdana"/>
                <w:sz w:val="20"/>
                <w:szCs w:val="20"/>
              </w:rPr>
              <w:t>or metastatic cervical cancer full approval</w:t>
            </w:r>
            <w:r w:rsidRPr="00330E7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shd w:val="clear" w:color="auto" w:fill="auto"/>
          </w:tcPr>
          <w:p w14:paraId="53E7DFA2" w14:textId="77777777" w:rsidR="009E4205" w:rsidRPr="001B3DFC" w:rsidRDefault="009E4205" w:rsidP="009E4205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>Medicare –</w:t>
            </w:r>
            <w:r>
              <w:rPr>
                <w:rFonts w:ascii="Verdana" w:hAnsi="Verdana"/>
                <w:sz w:val="20"/>
                <w:szCs w:val="20"/>
              </w:rPr>
              <w:t>N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F, </w:t>
            </w:r>
            <w:r>
              <w:rPr>
                <w:rFonts w:ascii="Verdana" w:hAnsi="Verdana"/>
                <w:sz w:val="20"/>
                <w:szCs w:val="20"/>
              </w:rPr>
              <w:t xml:space="preserve">PPO – NF,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>
              <w:rPr>
                <w:rFonts w:ascii="Verdana" w:hAnsi="Verdana"/>
                <w:sz w:val="20"/>
                <w:szCs w:val="20"/>
              </w:rPr>
              <w:t>NF</w:t>
            </w:r>
            <w:r w:rsidRPr="001B3DFC">
              <w:rPr>
                <w:rFonts w:ascii="Verdana" w:hAnsi="Verdana"/>
                <w:sz w:val="20"/>
                <w:szCs w:val="20"/>
              </w:rPr>
              <w:t>, HIX - NF</w:t>
            </w:r>
          </w:p>
          <w:p w14:paraId="5C0E5872" w14:textId="77777777" w:rsidR="0099506A" w:rsidRPr="00C644BC" w:rsidRDefault="0099506A" w:rsidP="0099506A">
            <w:pPr>
              <w:rPr>
                <w:rFonts w:ascii="Verdana" w:hAnsi="Verdana"/>
                <w:sz w:val="20"/>
                <w:szCs w:val="20"/>
              </w:rPr>
            </w:pPr>
          </w:p>
          <w:p w14:paraId="326D34FC" w14:textId="77777777" w:rsidR="0099506A" w:rsidRPr="00F16A1F" w:rsidRDefault="0099506A" w:rsidP="0099506A">
            <w:p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4985B9D4" w14:textId="6A0C1C1D" w:rsidR="009E4205" w:rsidRPr="001B3DFC" w:rsidRDefault="00AB22E9" w:rsidP="009E42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 change</w:t>
            </w:r>
          </w:p>
          <w:p w14:paraId="22966CB5" w14:textId="77777777" w:rsidR="0099506A" w:rsidRPr="00F16A1F" w:rsidRDefault="0099506A" w:rsidP="0099506A">
            <w:p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  <w:tr w:rsidR="0099506A" w:rsidRPr="00852F8C" w14:paraId="4C1157FE" w14:textId="77777777" w:rsidTr="00296E12">
        <w:tc>
          <w:tcPr>
            <w:tcW w:w="2430" w:type="dxa"/>
            <w:shd w:val="clear" w:color="auto" w:fill="auto"/>
          </w:tcPr>
          <w:p w14:paraId="2987B41C" w14:textId="408E37EA" w:rsidR="0099506A" w:rsidRPr="00BD0C1E" w:rsidRDefault="00330E7F" w:rsidP="0099506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32E31">
              <w:rPr>
                <w:rFonts w:ascii="Verdana" w:hAnsi="Verdana"/>
                <w:sz w:val="20"/>
                <w:szCs w:val="20"/>
              </w:rPr>
              <w:t>Ultomiris</w:t>
            </w:r>
            <w:proofErr w:type="spellEnd"/>
            <w:r w:rsidRPr="00D32E31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D32E31">
              <w:rPr>
                <w:rFonts w:ascii="Verdana" w:hAnsi="Verdana"/>
                <w:sz w:val="20"/>
                <w:szCs w:val="20"/>
              </w:rPr>
              <w:t>ravulizumab</w:t>
            </w:r>
            <w:proofErr w:type="spellEnd"/>
            <w:r w:rsidRPr="00D32E31">
              <w:rPr>
                <w:rFonts w:ascii="Verdana" w:hAnsi="Verdana"/>
                <w:sz w:val="20"/>
                <w:szCs w:val="20"/>
              </w:rPr>
              <w:t xml:space="preserve">) 100 mg/mL vials for IV infusion for neuromyelitis </w:t>
            </w:r>
            <w:proofErr w:type="spellStart"/>
            <w:r w:rsidRPr="00D32E31">
              <w:rPr>
                <w:rFonts w:ascii="Verdana" w:hAnsi="Verdana"/>
                <w:sz w:val="20"/>
                <w:szCs w:val="20"/>
              </w:rPr>
              <w:t>optica</w:t>
            </w:r>
            <w:proofErr w:type="spellEnd"/>
            <w:r w:rsidRPr="00D32E31">
              <w:rPr>
                <w:rFonts w:ascii="Verdana" w:hAnsi="Verdana"/>
                <w:sz w:val="20"/>
                <w:szCs w:val="20"/>
              </w:rPr>
              <w:t xml:space="preserve"> spectrum disorder (NMOSD)</w:t>
            </w:r>
          </w:p>
        </w:tc>
        <w:tc>
          <w:tcPr>
            <w:tcW w:w="4230" w:type="dxa"/>
            <w:shd w:val="clear" w:color="auto" w:fill="auto"/>
          </w:tcPr>
          <w:p w14:paraId="3499C764" w14:textId="25E24061" w:rsidR="009E4205" w:rsidRPr="001B3DFC" w:rsidRDefault="009E4205" w:rsidP="009E4205">
            <w:pPr>
              <w:rPr>
                <w:rFonts w:ascii="Verdana" w:hAnsi="Verdana"/>
                <w:sz w:val="20"/>
                <w:szCs w:val="20"/>
              </w:rPr>
            </w:pPr>
            <w:r w:rsidRPr="001B3DFC">
              <w:rPr>
                <w:rFonts w:ascii="Verdana" w:hAnsi="Verdana"/>
                <w:sz w:val="20"/>
                <w:szCs w:val="20"/>
              </w:rPr>
              <w:t>Medicare –</w:t>
            </w:r>
            <w:r w:rsidR="00AB22E9">
              <w:rPr>
                <w:rFonts w:ascii="Verdana" w:hAnsi="Verdana"/>
                <w:sz w:val="20"/>
                <w:szCs w:val="20"/>
              </w:rPr>
              <w:t>N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F, </w:t>
            </w:r>
            <w:r>
              <w:rPr>
                <w:rFonts w:ascii="Verdana" w:hAnsi="Verdana"/>
                <w:sz w:val="20"/>
                <w:szCs w:val="20"/>
              </w:rPr>
              <w:t xml:space="preserve">PPO – </w:t>
            </w:r>
            <w:r w:rsidR="00AB22E9">
              <w:rPr>
                <w:rFonts w:ascii="Verdana" w:hAnsi="Verdana"/>
                <w:sz w:val="20"/>
                <w:szCs w:val="20"/>
              </w:rPr>
              <w:t>N</w:t>
            </w:r>
            <w:r>
              <w:rPr>
                <w:rFonts w:ascii="Verdana" w:hAnsi="Verdana"/>
                <w:sz w:val="20"/>
                <w:szCs w:val="20"/>
              </w:rPr>
              <w:t xml:space="preserve">F, 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Medicaid – </w:t>
            </w:r>
            <w:r w:rsidR="00AB22E9">
              <w:rPr>
                <w:rFonts w:ascii="Verdana" w:hAnsi="Verdana"/>
                <w:sz w:val="20"/>
                <w:szCs w:val="20"/>
              </w:rPr>
              <w:t>N</w:t>
            </w:r>
            <w:r>
              <w:rPr>
                <w:rFonts w:ascii="Verdana" w:hAnsi="Verdana"/>
                <w:sz w:val="20"/>
                <w:szCs w:val="20"/>
              </w:rPr>
              <w:t>F</w:t>
            </w:r>
            <w:r w:rsidRPr="001B3DFC">
              <w:rPr>
                <w:rFonts w:ascii="Verdana" w:hAnsi="Verdana"/>
                <w:sz w:val="20"/>
                <w:szCs w:val="20"/>
              </w:rPr>
              <w:t xml:space="preserve">, HIX - </w:t>
            </w:r>
            <w:r w:rsidR="00AB22E9">
              <w:rPr>
                <w:rFonts w:ascii="Verdana" w:hAnsi="Verdana"/>
                <w:sz w:val="20"/>
                <w:szCs w:val="20"/>
              </w:rPr>
              <w:t>N</w:t>
            </w:r>
            <w:r w:rsidRPr="001B3DFC">
              <w:rPr>
                <w:rFonts w:ascii="Verdana" w:hAnsi="Verdana"/>
                <w:sz w:val="20"/>
                <w:szCs w:val="20"/>
              </w:rPr>
              <w:t>F</w:t>
            </w:r>
          </w:p>
          <w:p w14:paraId="56156AB1" w14:textId="334A091B" w:rsidR="0099506A" w:rsidRPr="00F16A1F" w:rsidRDefault="0099506A" w:rsidP="0099506A">
            <w:p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7" w:type="dxa"/>
            <w:shd w:val="clear" w:color="auto" w:fill="auto"/>
          </w:tcPr>
          <w:p w14:paraId="187A7CE3" w14:textId="5F1A5E84" w:rsidR="009E4205" w:rsidRPr="001B3DFC" w:rsidRDefault="00AB22E9" w:rsidP="009E42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 change</w:t>
            </w:r>
          </w:p>
          <w:p w14:paraId="0EAADDF2" w14:textId="77777777" w:rsidR="0099506A" w:rsidRPr="00F16A1F" w:rsidRDefault="0099506A" w:rsidP="0099506A">
            <w:p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671F897" w14:textId="3AD8DE7D" w:rsidR="007D1D6A" w:rsidRPr="00852F8C" w:rsidRDefault="007D1D6A" w:rsidP="003628BE">
      <w:pPr>
        <w:rPr>
          <w:rFonts w:ascii="Verdana" w:eastAsia="Times New Roman" w:hAnsi="Verdana" w:cs="Arial"/>
          <w:sz w:val="20"/>
          <w:szCs w:val="20"/>
        </w:rPr>
      </w:pPr>
    </w:p>
    <w:tbl>
      <w:tblPr>
        <w:tblStyle w:val="LightList-Accent5"/>
        <w:tblW w:w="10885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85"/>
      </w:tblGrid>
      <w:tr w:rsidR="004971A5" w:rsidRPr="00852F8C" w14:paraId="26EAAAF1" w14:textId="77777777" w:rsidTr="001C6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5" w:type="dxa"/>
            <w:shd w:val="clear" w:color="auto" w:fill="00205B"/>
          </w:tcPr>
          <w:p w14:paraId="34B53623" w14:textId="79C97540" w:rsidR="004971A5" w:rsidRPr="00852F8C" w:rsidRDefault="004971A5" w:rsidP="001C6EB3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New Generics Review </w:t>
            </w:r>
          </w:p>
        </w:tc>
      </w:tr>
    </w:tbl>
    <w:tbl>
      <w:tblPr>
        <w:tblStyle w:val="TableGrid"/>
        <w:tblW w:w="10917" w:type="dxa"/>
        <w:tblInd w:w="-95" w:type="dxa"/>
        <w:tblLook w:val="04A0" w:firstRow="1" w:lastRow="0" w:firstColumn="1" w:lastColumn="0" w:noHBand="0" w:noVBand="1"/>
      </w:tblPr>
      <w:tblGrid>
        <w:gridCol w:w="2520"/>
        <w:gridCol w:w="4262"/>
        <w:gridCol w:w="4135"/>
      </w:tblGrid>
      <w:tr w:rsidR="004971A5" w:rsidRPr="00852F8C" w14:paraId="3AC4146F" w14:textId="77777777" w:rsidTr="001C6EB3">
        <w:trPr>
          <w:trHeight w:val="566"/>
        </w:trPr>
        <w:tc>
          <w:tcPr>
            <w:tcW w:w="2520" w:type="dxa"/>
          </w:tcPr>
          <w:p w14:paraId="13ACAB4E" w14:textId="77777777" w:rsidR="004971A5" w:rsidRPr="00852F8C" w:rsidRDefault="004971A5" w:rsidP="001C6EB3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Drug</w:t>
            </w:r>
          </w:p>
        </w:tc>
        <w:tc>
          <w:tcPr>
            <w:tcW w:w="4262" w:type="dxa"/>
          </w:tcPr>
          <w:p w14:paraId="62349B50" w14:textId="20D15088" w:rsidR="004971A5" w:rsidRPr="00AB22E9" w:rsidRDefault="00AB22E9" w:rsidP="001C6EB3">
            <w:pPr>
              <w:spacing w:after="240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B22E9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Rationale/Alternative</w:t>
            </w:r>
          </w:p>
        </w:tc>
        <w:tc>
          <w:tcPr>
            <w:tcW w:w="4135" w:type="dxa"/>
          </w:tcPr>
          <w:p w14:paraId="17372CF3" w14:textId="77777777" w:rsidR="004971A5" w:rsidRPr="00852F8C" w:rsidRDefault="004971A5" w:rsidP="001C6EB3">
            <w:pPr>
              <w:spacing w:after="240"/>
              <w:rPr>
                <w:rFonts w:ascii="Verdana" w:eastAsia="Times New Roman" w:hAnsi="Verdana" w:cs="Arial"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sz w:val="20"/>
                <w:szCs w:val="20"/>
              </w:rPr>
              <w:t>Recommendation</w:t>
            </w:r>
          </w:p>
        </w:tc>
      </w:tr>
      <w:tr w:rsidR="00941DB4" w:rsidRPr="00852F8C" w14:paraId="5ACE4110" w14:textId="77777777" w:rsidTr="001C6EB3">
        <w:tc>
          <w:tcPr>
            <w:tcW w:w="2520" w:type="dxa"/>
            <w:shd w:val="clear" w:color="auto" w:fill="auto"/>
          </w:tcPr>
          <w:p w14:paraId="0F50BBF8" w14:textId="221A6FD2" w:rsidR="00941DB4" w:rsidRPr="00852F8C" w:rsidRDefault="00AB22E9" w:rsidP="00941DB4">
            <w:pPr>
              <w:rPr>
                <w:rFonts w:ascii="Verdana" w:hAnsi="Verdana" w:cs="Arial"/>
                <w:sz w:val="20"/>
                <w:szCs w:val="20"/>
              </w:rPr>
            </w:pPr>
            <w:r w:rsidRPr="00AB22E9">
              <w:rPr>
                <w:rFonts w:ascii="Verdana" w:hAnsi="Verdana"/>
                <w:sz w:val="20"/>
                <w:szCs w:val="20"/>
              </w:rPr>
              <w:t>Adalimumab-</w:t>
            </w:r>
            <w:proofErr w:type="spellStart"/>
            <w:r w:rsidRPr="00AB22E9">
              <w:rPr>
                <w:rFonts w:ascii="Verdana" w:hAnsi="Verdana"/>
                <w:sz w:val="20"/>
                <w:szCs w:val="20"/>
              </w:rPr>
              <w:t>aaty</w:t>
            </w:r>
            <w:proofErr w:type="spellEnd"/>
            <w:r w:rsidRPr="00AB22E9">
              <w:rPr>
                <w:rFonts w:ascii="Verdana" w:hAnsi="Verdana"/>
                <w:sz w:val="20"/>
                <w:szCs w:val="20"/>
              </w:rPr>
              <w:t xml:space="preserve"> (unbranded </w:t>
            </w:r>
            <w:proofErr w:type="spellStart"/>
            <w:r w:rsidRPr="00AB22E9">
              <w:rPr>
                <w:rFonts w:ascii="Verdana" w:hAnsi="Verdana"/>
                <w:sz w:val="20"/>
                <w:szCs w:val="20"/>
              </w:rPr>
              <w:t>Yuflyma</w:t>
            </w:r>
            <w:proofErr w:type="spellEnd"/>
            <w:r w:rsidRPr="00AB22E9">
              <w:rPr>
                <w:rFonts w:ascii="Verdana" w:hAnsi="Verdana"/>
                <w:sz w:val="20"/>
                <w:szCs w:val="20"/>
              </w:rPr>
              <w:t xml:space="preserve">) 20 mg/0.2 mL prefilled syringe kit </w:t>
            </w:r>
            <w:r w:rsidRPr="00AB22E9">
              <w:rPr>
                <w:rFonts w:ascii="Verdana" w:hAnsi="Verdana"/>
                <w:sz w:val="20"/>
                <w:szCs w:val="20"/>
              </w:rPr>
              <w:lastRenderedPageBreak/>
              <w:t>and 40 mg/0.4 mL, &amp; 80 mg/0.8 mL autoinjector kits for various inflammatory conditions</w:t>
            </w:r>
          </w:p>
        </w:tc>
        <w:tc>
          <w:tcPr>
            <w:tcW w:w="4262" w:type="dxa"/>
            <w:shd w:val="clear" w:color="auto" w:fill="auto"/>
          </w:tcPr>
          <w:p w14:paraId="2747E42C" w14:textId="0F871603" w:rsidR="00941DB4" w:rsidRPr="00154175" w:rsidRDefault="00AB22E9" w:rsidP="00941DB4">
            <w:pPr>
              <w:rPr>
                <w:rFonts w:ascii="Verdana" w:hAnsi="Verdana"/>
                <w:sz w:val="20"/>
                <w:szCs w:val="20"/>
              </w:rPr>
            </w:pPr>
            <w:r w:rsidRPr="00AB22E9">
              <w:rPr>
                <w:rFonts w:ascii="Verdana" w:hAnsi="Verdana"/>
                <w:sz w:val="20"/>
                <w:szCs w:val="20"/>
              </w:rPr>
              <w:lastRenderedPageBreak/>
              <w:t xml:space="preserve">An unbranded version of </w:t>
            </w:r>
            <w:proofErr w:type="spellStart"/>
            <w:r w:rsidRPr="00AB22E9">
              <w:rPr>
                <w:rFonts w:ascii="Verdana" w:hAnsi="Verdana"/>
                <w:sz w:val="20"/>
                <w:szCs w:val="20"/>
              </w:rPr>
              <w:t>Yuflyma</w:t>
            </w:r>
            <w:proofErr w:type="spellEnd"/>
            <w:r w:rsidRPr="00AB22E9">
              <w:rPr>
                <w:rFonts w:ascii="Verdana" w:hAnsi="Verdana"/>
                <w:sz w:val="20"/>
                <w:szCs w:val="20"/>
              </w:rPr>
              <w:t>, adalimumab-</w:t>
            </w:r>
            <w:proofErr w:type="spellStart"/>
            <w:r w:rsidRPr="00AB22E9">
              <w:rPr>
                <w:rFonts w:ascii="Verdana" w:hAnsi="Verdana"/>
                <w:sz w:val="20"/>
                <w:szCs w:val="20"/>
              </w:rPr>
              <w:t>aaty</w:t>
            </w:r>
            <w:proofErr w:type="spellEnd"/>
            <w:r w:rsidRPr="00AB22E9">
              <w:rPr>
                <w:rFonts w:ascii="Verdana" w:hAnsi="Verdana"/>
                <w:sz w:val="20"/>
                <w:szCs w:val="20"/>
              </w:rPr>
              <w:t xml:space="preserve">, has recently launched with WAC price just over </w:t>
            </w:r>
            <w:r w:rsidRPr="00AB22E9">
              <w:rPr>
                <w:rFonts w:ascii="Verdana" w:hAnsi="Verdana"/>
                <w:sz w:val="20"/>
                <w:szCs w:val="20"/>
              </w:rPr>
              <w:lastRenderedPageBreak/>
              <w:t xml:space="preserve">$1000, </w:t>
            </w:r>
            <w:proofErr w:type="gramStart"/>
            <w:r w:rsidRPr="00AB22E9">
              <w:rPr>
                <w:rFonts w:ascii="Verdana" w:hAnsi="Verdana"/>
                <w:sz w:val="20"/>
                <w:szCs w:val="20"/>
              </w:rPr>
              <w:t>similar to</w:t>
            </w:r>
            <w:proofErr w:type="gramEnd"/>
            <w:r w:rsidRPr="00AB22E9">
              <w:rPr>
                <w:rFonts w:ascii="Verdana" w:hAnsi="Verdana"/>
                <w:sz w:val="20"/>
                <w:szCs w:val="20"/>
              </w:rPr>
              <w:t xml:space="preserve"> most of the other low-WAC adalimumab biosimilars.</w:t>
            </w:r>
          </w:p>
        </w:tc>
        <w:tc>
          <w:tcPr>
            <w:tcW w:w="4135" w:type="dxa"/>
            <w:shd w:val="clear" w:color="auto" w:fill="auto"/>
          </w:tcPr>
          <w:p w14:paraId="0C0945FA" w14:textId="64B1A07B" w:rsidR="00941DB4" w:rsidRPr="00154175" w:rsidRDefault="00941DB4" w:rsidP="00941DB4">
            <w:pPr>
              <w:rPr>
                <w:rFonts w:ascii="Verdana" w:hAnsi="Verdana"/>
                <w:sz w:val="20"/>
                <w:szCs w:val="20"/>
              </w:rPr>
            </w:pPr>
            <w:r w:rsidRPr="00BE5FAA">
              <w:rPr>
                <w:rFonts w:ascii="Verdana" w:hAnsi="Verdana"/>
                <w:sz w:val="20"/>
                <w:szCs w:val="20"/>
              </w:rPr>
              <w:lastRenderedPageBreak/>
              <w:t>Medicare:</w:t>
            </w:r>
            <w:r w:rsidRPr="00BE5FAA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N</w:t>
            </w:r>
            <w:r w:rsidRPr="00BE5FAA">
              <w:rPr>
                <w:rFonts w:ascii="Verdana" w:hAnsi="Verdana"/>
                <w:color w:val="FF0000"/>
                <w:sz w:val="20"/>
                <w:szCs w:val="20"/>
              </w:rPr>
              <w:t>F</w:t>
            </w:r>
            <w:r w:rsidRPr="00BE5FAA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 xml:space="preserve">PPO: </w:t>
            </w:r>
            <w:r w:rsidRPr="0088542B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BE5FAA">
              <w:rPr>
                <w:rFonts w:ascii="Verdana" w:hAnsi="Verdana"/>
                <w:sz w:val="20"/>
                <w:szCs w:val="20"/>
              </w:rPr>
              <w:t xml:space="preserve">Medicaid: </w:t>
            </w:r>
            <w:r w:rsidRPr="0088542B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  <w:r w:rsidRPr="00BE5FAA">
              <w:rPr>
                <w:rFonts w:ascii="Verdana" w:hAnsi="Verdana"/>
                <w:sz w:val="20"/>
                <w:szCs w:val="20"/>
              </w:rPr>
              <w:t xml:space="preserve">, HIX: </w:t>
            </w:r>
            <w:r w:rsidRPr="0088542B">
              <w:rPr>
                <w:rFonts w:ascii="Verdana" w:hAnsi="Verdana"/>
                <w:color w:val="FF0000"/>
                <w:sz w:val="20"/>
                <w:szCs w:val="20"/>
              </w:rPr>
              <w:t>NF</w:t>
            </w:r>
          </w:p>
        </w:tc>
      </w:tr>
      <w:tr w:rsidR="00941DB4" w:rsidRPr="00852F8C" w14:paraId="153DEB7E" w14:textId="77777777" w:rsidTr="001C6EB3">
        <w:tc>
          <w:tcPr>
            <w:tcW w:w="2520" w:type="dxa"/>
            <w:shd w:val="clear" w:color="auto" w:fill="auto"/>
          </w:tcPr>
          <w:p w14:paraId="0FDA7E69" w14:textId="18340AD7" w:rsidR="00941DB4" w:rsidRPr="00852F8C" w:rsidRDefault="00AB22E9" w:rsidP="00941DB4">
            <w:pPr>
              <w:rPr>
                <w:rFonts w:ascii="Verdana" w:hAnsi="Verdana" w:cs="Arial"/>
                <w:sz w:val="20"/>
                <w:szCs w:val="20"/>
              </w:rPr>
            </w:pPr>
            <w:r w:rsidRPr="00AB22E9">
              <w:rPr>
                <w:rFonts w:ascii="Verdana" w:hAnsi="Verdana"/>
                <w:sz w:val="20"/>
                <w:szCs w:val="20"/>
              </w:rPr>
              <w:t>Adalimumab-</w:t>
            </w:r>
            <w:proofErr w:type="spellStart"/>
            <w:r w:rsidRPr="00AB22E9">
              <w:rPr>
                <w:rFonts w:ascii="Verdana" w:hAnsi="Verdana"/>
                <w:sz w:val="20"/>
                <w:szCs w:val="20"/>
              </w:rPr>
              <w:t>adbm</w:t>
            </w:r>
            <w:proofErr w:type="spellEnd"/>
            <w:r w:rsidRPr="00AB22E9">
              <w:rPr>
                <w:rFonts w:ascii="Verdana" w:hAnsi="Verdana"/>
                <w:sz w:val="20"/>
                <w:szCs w:val="20"/>
              </w:rPr>
              <w:t xml:space="preserve"> &amp; -</w:t>
            </w:r>
            <w:proofErr w:type="spellStart"/>
            <w:r w:rsidRPr="00AB22E9">
              <w:rPr>
                <w:rFonts w:ascii="Verdana" w:hAnsi="Verdana"/>
                <w:sz w:val="20"/>
                <w:szCs w:val="20"/>
              </w:rPr>
              <w:t>ryvk</w:t>
            </w:r>
            <w:proofErr w:type="spellEnd"/>
            <w:r w:rsidRPr="00AB22E9">
              <w:rPr>
                <w:rFonts w:ascii="Verdana" w:hAnsi="Verdana"/>
                <w:sz w:val="20"/>
                <w:szCs w:val="20"/>
              </w:rPr>
              <w:t xml:space="preserve"> (unbranded </w:t>
            </w:r>
            <w:proofErr w:type="spellStart"/>
            <w:r w:rsidRPr="00AB22E9">
              <w:rPr>
                <w:rFonts w:ascii="Verdana" w:hAnsi="Verdana"/>
                <w:sz w:val="20"/>
                <w:szCs w:val="20"/>
              </w:rPr>
              <w:t>Cyltezo</w:t>
            </w:r>
            <w:proofErr w:type="spellEnd"/>
            <w:r w:rsidRPr="00AB22E9">
              <w:rPr>
                <w:rFonts w:ascii="Verdana" w:hAnsi="Verdana"/>
                <w:sz w:val="20"/>
                <w:szCs w:val="20"/>
              </w:rPr>
              <w:t xml:space="preserve"> &amp; unbranded </w:t>
            </w:r>
            <w:proofErr w:type="spellStart"/>
            <w:r w:rsidRPr="00AB22E9">
              <w:rPr>
                <w:rFonts w:ascii="Verdana" w:hAnsi="Verdana"/>
                <w:sz w:val="20"/>
                <w:szCs w:val="20"/>
              </w:rPr>
              <w:t>Simlandi</w:t>
            </w:r>
            <w:proofErr w:type="spellEnd"/>
            <w:r w:rsidRPr="00AB22E9">
              <w:rPr>
                <w:rFonts w:ascii="Verdana" w:hAnsi="Verdana"/>
                <w:sz w:val="20"/>
                <w:szCs w:val="20"/>
              </w:rPr>
              <w:t>) 40 mg/0.8 mL &amp; 40 mg/0.4 mL injections for various inflammatory conditions</w:t>
            </w:r>
            <w:r w:rsidRPr="00AB22E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262" w:type="dxa"/>
            <w:shd w:val="clear" w:color="auto" w:fill="auto"/>
          </w:tcPr>
          <w:p w14:paraId="4C302C2E" w14:textId="77AC3334" w:rsidR="00941DB4" w:rsidRPr="00154175" w:rsidRDefault="00AB22E9" w:rsidP="00941DB4">
            <w:pPr>
              <w:rPr>
                <w:rFonts w:ascii="Verdana" w:hAnsi="Verdana"/>
                <w:sz w:val="20"/>
                <w:szCs w:val="20"/>
              </w:rPr>
            </w:pPr>
            <w:r w:rsidRPr="00D32E31">
              <w:rPr>
                <w:rFonts w:ascii="Verdana" w:hAnsi="Verdana"/>
                <w:sz w:val="20"/>
                <w:szCs w:val="20"/>
              </w:rPr>
              <w:t xml:space="preserve">Unbranded adalimumab biosimilars to </w:t>
            </w:r>
            <w:proofErr w:type="spellStart"/>
            <w:r w:rsidRPr="00D32E31">
              <w:rPr>
                <w:rFonts w:ascii="Verdana" w:hAnsi="Verdana"/>
                <w:sz w:val="20"/>
                <w:szCs w:val="20"/>
              </w:rPr>
              <w:t>Cyltezo</w:t>
            </w:r>
            <w:proofErr w:type="spellEnd"/>
            <w:r w:rsidRPr="00D32E31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D32E31">
              <w:rPr>
                <w:rFonts w:ascii="Verdana" w:hAnsi="Verdana"/>
                <w:sz w:val="20"/>
                <w:szCs w:val="20"/>
              </w:rPr>
              <w:t>Simlandi</w:t>
            </w:r>
            <w:proofErr w:type="spellEnd"/>
            <w:r w:rsidRPr="00D32E31">
              <w:rPr>
                <w:rFonts w:ascii="Verdana" w:hAnsi="Verdana"/>
                <w:sz w:val="20"/>
                <w:szCs w:val="20"/>
              </w:rPr>
              <w:t xml:space="preserve"> are launching.</w:t>
            </w:r>
          </w:p>
        </w:tc>
        <w:tc>
          <w:tcPr>
            <w:tcW w:w="4135" w:type="dxa"/>
            <w:shd w:val="clear" w:color="auto" w:fill="auto"/>
          </w:tcPr>
          <w:p w14:paraId="54C56EEC" w14:textId="77777777" w:rsidR="00941DB4" w:rsidRPr="00BE5FAA" w:rsidRDefault="00941DB4" w:rsidP="00941DB4">
            <w:pPr>
              <w:rPr>
                <w:rFonts w:ascii="Verdana" w:hAnsi="Verdana"/>
                <w:sz w:val="20"/>
                <w:szCs w:val="20"/>
              </w:rPr>
            </w:pPr>
            <w:r w:rsidRPr="00BE5FAA">
              <w:rPr>
                <w:rFonts w:ascii="Verdana" w:hAnsi="Verdana"/>
                <w:sz w:val="20"/>
                <w:szCs w:val="20"/>
              </w:rPr>
              <w:t xml:space="preserve">Medicare: NF, </w:t>
            </w:r>
            <w:r>
              <w:rPr>
                <w:rFonts w:ascii="Verdana" w:hAnsi="Verdana"/>
                <w:sz w:val="20"/>
                <w:szCs w:val="20"/>
              </w:rPr>
              <w:t xml:space="preserve">PPO: NF, </w:t>
            </w:r>
            <w:r w:rsidRPr="00BE5FAA">
              <w:rPr>
                <w:rFonts w:ascii="Verdana" w:hAnsi="Verdana"/>
                <w:sz w:val="20"/>
                <w:szCs w:val="20"/>
              </w:rPr>
              <w:t xml:space="preserve">Medicaid: </w:t>
            </w:r>
            <w:r w:rsidRPr="00AB22E9">
              <w:rPr>
                <w:rFonts w:ascii="Verdana" w:hAnsi="Verdana"/>
                <w:sz w:val="20"/>
                <w:szCs w:val="20"/>
              </w:rPr>
              <w:t>NP</w:t>
            </w:r>
            <w:r w:rsidRPr="00BE5FAA">
              <w:rPr>
                <w:rFonts w:ascii="Verdana" w:hAnsi="Verdana"/>
                <w:sz w:val="20"/>
                <w:szCs w:val="20"/>
              </w:rPr>
              <w:t>, HIX: NF</w:t>
            </w:r>
          </w:p>
          <w:p w14:paraId="6F1BB6BA" w14:textId="370E23BA" w:rsidR="00941DB4" w:rsidRPr="00154175" w:rsidRDefault="00941DB4" w:rsidP="00941D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41DB4" w:rsidRPr="00852F8C" w14:paraId="466104D0" w14:textId="77777777" w:rsidTr="001C6EB3">
        <w:tc>
          <w:tcPr>
            <w:tcW w:w="2520" w:type="dxa"/>
            <w:shd w:val="clear" w:color="auto" w:fill="auto"/>
          </w:tcPr>
          <w:p w14:paraId="471AAA8F" w14:textId="11CBDF82" w:rsidR="00941DB4" w:rsidRPr="00852F8C" w:rsidRDefault="00AB22E9" w:rsidP="00941DB4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D32E31">
              <w:rPr>
                <w:rFonts w:ascii="Verdana" w:hAnsi="Verdana"/>
                <w:color w:val="000000"/>
                <w:sz w:val="20"/>
                <w:szCs w:val="20"/>
              </w:rPr>
              <w:t>Estrogel</w:t>
            </w:r>
            <w:proofErr w:type="spellEnd"/>
            <w:r w:rsidRPr="00D32E31">
              <w:rPr>
                <w:rFonts w:ascii="Verdana" w:hAnsi="Verdana"/>
                <w:color w:val="000000"/>
                <w:sz w:val="20"/>
                <w:szCs w:val="20"/>
              </w:rPr>
              <w:t xml:space="preserve"> (estradiol) 0.06% gel for vasomotor symptoms &amp; vulvar/vaginal symptoms due to menopause</w:t>
            </w:r>
          </w:p>
        </w:tc>
        <w:tc>
          <w:tcPr>
            <w:tcW w:w="4262" w:type="dxa"/>
            <w:shd w:val="clear" w:color="auto" w:fill="auto"/>
          </w:tcPr>
          <w:p w14:paraId="24D99D66" w14:textId="77490898" w:rsidR="00941DB4" w:rsidRPr="00A37715" w:rsidRDefault="00AB22E9" w:rsidP="00941DB4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32E31">
              <w:rPr>
                <w:rFonts w:ascii="Verdana" w:hAnsi="Verdana"/>
                <w:sz w:val="20"/>
                <w:szCs w:val="20"/>
              </w:rPr>
              <w:t>Estrogel</w:t>
            </w:r>
            <w:proofErr w:type="spellEnd"/>
            <w:r w:rsidRPr="00D32E31">
              <w:rPr>
                <w:rFonts w:ascii="Verdana" w:hAnsi="Verdana"/>
                <w:sz w:val="20"/>
                <w:szCs w:val="20"/>
              </w:rPr>
              <w:t xml:space="preserve"> (estradiol 0.06%) gel recently had a generic launch.</w:t>
            </w:r>
          </w:p>
          <w:p w14:paraId="650E1CBE" w14:textId="00BB767C" w:rsidR="00941DB4" w:rsidRPr="00154175" w:rsidRDefault="00941DB4" w:rsidP="00941D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35" w:type="dxa"/>
            <w:shd w:val="clear" w:color="auto" w:fill="auto"/>
          </w:tcPr>
          <w:p w14:paraId="4B78095A" w14:textId="77777777" w:rsidR="00941DB4" w:rsidRPr="00BE5FAA" w:rsidRDefault="00941DB4" w:rsidP="00941DB4">
            <w:pPr>
              <w:rPr>
                <w:rFonts w:ascii="Verdana" w:hAnsi="Verdana"/>
                <w:sz w:val="20"/>
                <w:szCs w:val="20"/>
              </w:rPr>
            </w:pPr>
            <w:r w:rsidRPr="00BE5FAA">
              <w:rPr>
                <w:rFonts w:ascii="Verdana" w:hAnsi="Verdana"/>
                <w:sz w:val="20"/>
                <w:szCs w:val="20"/>
              </w:rPr>
              <w:t xml:space="preserve">Medicare: NF, </w:t>
            </w:r>
            <w:r>
              <w:rPr>
                <w:rFonts w:ascii="Verdana" w:hAnsi="Verdana"/>
                <w:sz w:val="20"/>
                <w:szCs w:val="20"/>
              </w:rPr>
              <w:t xml:space="preserve">PPO: NF, </w:t>
            </w:r>
            <w:r w:rsidRPr="00BE5FAA">
              <w:rPr>
                <w:rFonts w:ascii="Verdana" w:hAnsi="Verdana"/>
                <w:sz w:val="20"/>
                <w:szCs w:val="20"/>
              </w:rPr>
              <w:t>Medicaid: NF, HIX: NF</w:t>
            </w:r>
          </w:p>
          <w:p w14:paraId="69719B55" w14:textId="547AA93D" w:rsidR="00941DB4" w:rsidRPr="00154175" w:rsidRDefault="00941DB4" w:rsidP="00941D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41DB4" w:rsidRPr="00852F8C" w14:paraId="097E7538" w14:textId="77777777" w:rsidTr="001C6EB3">
        <w:tc>
          <w:tcPr>
            <w:tcW w:w="2520" w:type="dxa"/>
            <w:shd w:val="clear" w:color="auto" w:fill="auto"/>
          </w:tcPr>
          <w:p w14:paraId="3DEBB748" w14:textId="46CDC76F" w:rsidR="00941DB4" w:rsidRPr="00852F8C" w:rsidRDefault="00AB22E9" w:rsidP="00941DB4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D32E31">
              <w:rPr>
                <w:rFonts w:ascii="Verdana" w:hAnsi="Verdana"/>
                <w:color w:val="000000"/>
                <w:sz w:val="20"/>
                <w:szCs w:val="20"/>
              </w:rPr>
              <w:t>Myrbetriq</w:t>
            </w:r>
            <w:proofErr w:type="spellEnd"/>
            <w:r w:rsidRPr="00D32E31">
              <w:rPr>
                <w:rFonts w:ascii="Verdana" w:hAnsi="Verdana"/>
                <w:color w:val="000000"/>
                <w:sz w:val="20"/>
                <w:szCs w:val="20"/>
              </w:rPr>
              <w:t xml:space="preserve"> (mirabegron) ER 25 mg &amp; 50 mg tablets for overactive bladder (OAB)</w:t>
            </w:r>
          </w:p>
        </w:tc>
        <w:tc>
          <w:tcPr>
            <w:tcW w:w="4262" w:type="dxa"/>
            <w:shd w:val="clear" w:color="auto" w:fill="auto"/>
          </w:tcPr>
          <w:p w14:paraId="16E31F99" w14:textId="2FFD1AA0" w:rsidR="00941DB4" w:rsidRPr="00154175" w:rsidRDefault="00AB22E9" w:rsidP="00941DB4">
            <w:pPr>
              <w:rPr>
                <w:rFonts w:ascii="Verdana" w:hAnsi="Verdana"/>
                <w:sz w:val="20"/>
                <w:szCs w:val="20"/>
              </w:rPr>
            </w:pPr>
            <w:r w:rsidRPr="00D32E31">
              <w:rPr>
                <w:rFonts w:ascii="Verdana" w:hAnsi="Verdana"/>
                <w:sz w:val="20"/>
                <w:szCs w:val="20"/>
              </w:rPr>
              <w:t>Two manufacturers (Zydus and Lupin) recently launched generic mirabegron 25 &amp; 50 mg ER tablets. There is ongoing litigation related to this generic launch, however the generic tablets are currently available at ~14% lower cost than the brand product</w:t>
            </w:r>
          </w:p>
        </w:tc>
        <w:tc>
          <w:tcPr>
            <w:tcW w:w="4135" w:type="dxa"/>
            <w:shd w:val="clear" w:color="auto" w:fill="auto"/>
          </w:tcPr>
          <w:p w14:paraId="421AC44C" w14:textId="77777777" w:rsidR="00941DB4" w:rsidRPr="00BE5FAA" w:rsidRDefault="00941DB4" w:rsidP="00941DB4">
            <w:pPr>
              <w:rPr>
                <w:rFonts w:ascii="Verdana" w:hAnsi="Verdana"/>
                <w:sz w:val="20"/>
                <w:szCs w:val="20"/>
              </w:rPr>
            </w:pPr>
            <w:r w:rsidRPr="00BE5FAA">
              <w:rPr>
                <w:rFonts w:ascii="Verdana" w:hAnsi="Verdana"/>
                <w:sz w:val="20"/>
                <w:szCs w:val="20"/>
              </w:rPr>
              <w:t xml:space="preserve">Medicare: NF, </w:t>
            </w:r>
            <w:r>
              <w:rPr>
                <w:rFonts w:ascii="Verdana" w:hAnsi="Verdana"/>
                <w:sz w:val="20"/>
                <w:szCs w:val="20"/>
              </w:rPr>
              <w:t xml:space="preserve">PPO: NF, </w:t>
            </w:r>
            <w:r w:rsidRPr="00BE5FAA">
              <w:rPr>
                <w:rFonts w:ascii="Verdana" w:hAnsi="Verdana"/>
                <w:sz w:val="20"/>
                <w:szCs w:val="20"/>
              </w:rPr>
              <w:t>Medicaid: NF, HIX: NF</w:t>
            </w:r>
          </w:p>
          <w:p w14:paraId="223FED47" w14:textId="1D8FD373" w:rsidR="00941DB4" w:rsidRPr="00154175" w:rsidRDefault="00941DB4" w:rsidP="00941D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41DB4" w:rsidRPr="00852F8C" w14:paraId="22504A76" w14:textId="77777777" w:rsidTr="001C6EB3">
        <w:tc>
          <w:tcPr>
            <w:tcW w:w="2520" w:type="dxa"/>
            <w:shd w:val="clear" w:color="auto" w:fill="auto"/>
          </w:tcPr>
          <w:p w14:paraId="69BBF7BE" w14:textId="50EE0740" w:rsidR="00941DB4" w:rsidRPr="00852F8C" w:rsidRDefault="00AB22E9" w:rsidP="00941DB4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D32E31">
              <w:rPr>
                <w:rFonts w:ascii="Verdana" w:hAnsi="Verdana"/>
                <w:color w:val="000000"/>
                <w:sz w:val="20"/>
                <w:szCs w:val="20"/>
              </w:rPr>
              <w:t>Tyenne</w:t>
            </w:r>
            <w:proofErr w:type="spellEnd"/>
            <w:r w:rsidRPr="00D32E31">
              <w:rPr>
                <w:rFonts w:ascii="Verdana" w:hAnsi="Verdana"/>
                <w:color w:val="000000"/>
                <w:sz w:val="20"/>
                <w:szCs w:val="20"/>
              </w:rPr>
              <w:t xml:space="preserve"> (tocilizumab) and </w:t>
            </w:r>
            <w:proofErr w:type="spellStart"/>
            <w:r w:rsidRPr="00D32E31">
              <w:rPr>
                <w:rFonts w:ascii="Verdana" w:hAnsi="Verdana"/>
                <w:color w:val="000000"/>
                <w:sz w:val="20"/>
                <w:szCs w:val="20"/>
              </w:rPr>
              <w:t>Tofidence</w:t>
            </w:r>
            <w:proofErr w:type="spellEnd"/>
            <w:r w:rsidRPr="00D32E31">
              <w:rPr>
                <w:rFonts w:ascii="Verdana" w:hAnsi="Verdana"/>
                <w:color w:val="000000"/>
                <w:sz w:val="20"/>
                <w:szCs w:val="20"/>
              </w:rPr>
              <w:t xml:space="preserve"> (tocilizumab) 20mg/mL vials for IV infusion for arthritis (Actemra biosimilars)</w:t>
            </w:r>
          </w:p>
        </w:tc>
        <w:tc>
          <w:tcPr>
            <w:tcW w:w="4262" w:type="dxa"/>
            <w:shd w:val="clear" w:color="auto" w:fill="auto"/>
          </w:tcPr>
          <w:p w14:paraId="6B1C1B92" w14:textId="41C8368D" w:rsidR="00941DB4" w:rsidRPr="00154175" w:rsidRDefault="00AB22E9" w:rsidP="00941DB4">
            <w:pPr>
              <w:rPr>
                <w:rFonts w:ascii="Verdana" w:hAnsi="Verdana"/>
                <w:sz w:val="20"/>
                <w:szCs w:val="20"/>
              </w:rPr>
            </w:pPr>
            <w:r w:rsidRPr="00D32E31">
              <w:rPr>
                <w:rFonts w:ascii="Verdana" w:hAnsi="Verdana"/>
                <w:sz w:val="20"/>
                <w:szCs w:val="20"/>
              </w:rPr>
              <w:t xml:space="preserve">Two biosimilar products for Actemra have launched – </w:t>
            </w:r>
            <w:proofErr w:type="spellStart"/>
            <w:r w:rsidRPr="00D32E31">
              <w:rPr>
                <w:rFonts w:ascii="Verdana" w:hAnsi="Verdana"/>
                <w:sz w:val="20"/>
                <w:szCs w:val="20"/>
              </w:rPr>
              <w:t>Tyenne</w:t>
            </w:r>
            <w:proofErr w:type="spellEnd"/>
            <w:r w:rsidRPr="00D32E31">
              <w:rPr>
                <w:rFonts w:ascii="Verdana" w:hAnsi="Verdana"/>
                <w:sz w:val="20"/>
                <w:szCs w:val="20"/>
              </w:rPr>
              <w:t xml:space="preserve"> and </w:t>
            </w:r>
            <w:proofErr w:type="spellStart"/>
            <w:r w:rsidRPr="00D32E31">
              <w:rPr>
                <w:rFonts w:ascii="Verdana" w:hAnsi="Verdana"/>
                <w:sz w:val="20"/>
                <w:szCs w:val="20"/>
              </w:rPr>
              <w:t>Tofidence</w:t>
            </w:r>
            <w:proofErr w:type="spellEnd"/>
            <w:r w:rsidRPr="00D32E31">
              <w:rPr>
                <w:rFonts w:ascii="Verdana" w:hAnsi="Verdana"/>
                <w:sz w:val="20"/>
                <w:szCs w:val="20"/>
              </w:rPr>
              <w:t>. These are biosimilars to the IV formulation only</w:t>
            </w:r>
            <w:r w:rsidRPr="0015417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135" w:type="dxa"/>
            <w:shd w:val="clear" w:color="auto" w:fill="auto"/>
          </w:tcPr>
          <w:p w14:paraId="03D4C6F3" w14:textId="77777777" w:rsidR="00AB22E9" w:rsidRPr="00BE5FAA" w:rsidRDefault="00AB22E9" w:rsidP="00AB22E9">
            <w:pPr>
              <w:rPr>
                <w:rFonts w:ascii="Verdana" w:hAnsi="Verdana"/>
                <w:sz w:val="20"/>
                <w:szCs w:val="20"/>
              </w:rPr>
            </w:pPr>
            <w:r w:rsidRPr="00BE5FAA">
              <w:rPr>
                <w:rFonts w:ascii="Verdana" w:hAnsi="Verdana"/>
                <w:sz w:val="20"/>
                <w:szCs w:val="20"/>
              </w:rPr>
              <w:t xml:space="preserve">Medicare: NF, </w:t>
            </w:r>
            <w:r>
              <w:rPr>
                <w:rFonts w:ascii="Verdana" w:hAnsi="Verdana"/>
                <w:sz w:val="20"/>
                <w:szCs w:val="20"/>
              </w:rPr>
              <w:t xml:space="preserve">PPO: NF, </w:t>
            </w:r>
            <w:r w:rsidRPr="00BE5FAA">
              <w:rPr>
                <w:rFonts w:ascii="Verdana" w:hAnsi="Verdana"/>
                <w:sz w:val="20"/>
                <w:szCs w:val="20"/>
              </w:rPr>
              <w:t>Medicaid: NF, HIX: NF</w:t>
            </w:r>
          </w:p>
          <w:p w14:paraId="305AB14B" w14:textId="77777777" w:rsidR="00941DB4" w:rsidRPr="00154175" w:rsidRDefault="00941DB4" w:rsidP="00941DB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851FA68" w14:textId="77777777" w:rsidR="004971A5" w:rsidRPr="00852F8C" w:rsidRDefault="004971A5" w:rsidP="003628BE">
      <w:pPr>
        <w:rPr>
          <w:rFonts w:ascii="Verdana" w:eastAsia="Times New Roman" w:hAnsi="Verdana" w:cs="Arial"/>
          <w:sz w:val="20"/>
          <w:szCs w:val="20"/>
        </w:rPr>
      </w:pPr>
    </w:p>
    <w:p w14:paraId="1D317A5C" w14:textId="77777777" w:rsidR="00296E12" w:rsidRPr="00852F8C" w:rsidRDefault="00296E12" w:rsidP="00E32DDA">
      <w:pPr>
        <w:rPr>
          <w:rFonts w:ascii="Verdana" w:eastAsia="Times New Roman" w:hAnsi="Verdana" w:cs="Arial"/>
          <w:b/>
          <w:sz w:val="20"/>
          <w:szCs w:val="20"/>
        </w:rPr>
      </w:pPr>
      <w:bookmarkStart w:id="1" w:name="_Hlk65757423"/>
    </w:p>
    <w:tbl>
      <w:tblPr>
        <w:tblStyle w:val="LightList-Accent5"/>
        <w:tblW w:w="10890" w:type="dxa"/>
        <w:tblInd w:w="-95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6E31" w:rsidRPr="00852F8C" w14:paraId="5A3864ED" w14:textId="77777777" w:rsidTr="0044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0" w:type="dxa"/>
            <w:shd w:val="clear" w:color="auto" w:fill="00205B"/>
          </w:tcPr>
          <w:bookmarkEnd w:id="1"/>
          <w:p w14:paraId="661BF950" w14:textId="77777777" w:rsidR="000A6E31" w:rsidRPr="00852F8C" w:rsidRDefault="000A6E31" w:rsidP="005247AA">
            <w:pPr>
              <w:spacing w:after="240"/>
              <w:rPr>
                <w:rFonts w:ascii="Verdana" w:eastAsia="Times New Roman" w:hAnsi="Verdana" w:cs="Arial"/>
                <w:b w:val="0"/>
                <w:sz w:val="20"/>
                <w:szCs w:val="20"/>
              </w:rPr>
            </w:pPr>
            <w:r w:rsidRPr="00852F8C">
              <w:rPr>
                <w:rFonts w:ascii="Verdana" w:eastAsia="Times New Roman" w:hAnsi="Verdana" w:cs="Arial"/>
                <w:sz w:val="20"/>
                <w:szCs w:val="20"/>
              </w:rPr>
              <w:t xml:space="preserve">Additional Items Reviewed </w:t>
            </w:r>
          </w:p>
        </w:tc>
      </w:tr>
    </w:tbl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2520"/>
        <w:gridCol w:w="8370"/>
      </w:tblGrid>
      <w:tr w:rsidR="000A6E31" w:rsidRPr="00852F8C" w14:paraId="4588D2D6" w14:textId="77777777" w:rsidTr="001C0339">
        <w:tc>
          <w:tcPr>
            <w:tcW w:w="2520" w:type="dxa"/>
          </w:tcPr>
          <w:p w14:paraId="4084C365" w14:textId="77777777" w:rsidR="000A6E31" w:rsidRPr="00852F8C" w:rsidRDefault="000A6E31" w:rsidP="005247AA">
            <w:pPr>
              <w:spacing w:after="240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  <w:r w:rsidRPr="00852F8C">
              <w:rPr>
                <w:rFonts w:ascii="Verdana" w:hAnsi="Verdana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370" w:type="dxa"/>
          </w:tcPr>
          <w:p w14:paraId="4048D7BA" w14:textId="1A200632" w:rsidR="000A6E31" w:rsidRPr="00852F8C" w:rsidRDefault="00822707" w:rsidP="005247AA">
            <w:pPr>
              <w:spacing w:after="24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Drugs with New Policies</w:t>
            </w:r>
          </w:p>
        </w:tc>
      </w:tr>
      <w:tr w:rsidR="00822707" w:rsidRPr="00852F8C" w14:paraId="689CEF80" w14:textId="77777777" w:rsidTr="00347888">
        <w:trPr>
          <w:trHeight w:val="377"/>
        </w:trPr>
        <w:tc>
          <w:tcPr>
            <w:tcW w:w="2520" w:type="dxa"/>
          </w:tcPr>
          <w:p w14:paraId="166089E0" w14:textId="18FF513B" w:rsidR="00822707" w:rsidRPr="00852F8C" w:rsidRDefault="00822707" w:rsidP="00822707">
            <w:pPr>
              <w:rPr>
                <w:rFonts w:ascii="Verdana" w:hAnsi="Verdana" w:cs="Times New Roman"/>
                <w:bCs/>
                <w:sz w:val="20"/>
                <w:szCs w:val="20"/>
              </w:rPr>
            </w:pPr>
            <w:r w:rsidRPr="00852F8C">
              <w:rPr>
                <w:rFonts w:ascii="Verdana" w:hAnsi="Verdana" w:cs="Times New Roman"/>
                <w:bCs/>
                <w:sz w:val="20"/>
                <w:szCs w:val="20"/>
              </w:rPr>
              <w:t>New Medical Drug Policies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 xml:space="preserve"> </w:t>
            </w:r>
            <w:r w:rsidRPr="00296EF6">
              <w:rPr>
                <w:rFonts w:ascii="Verdana" w:hAnsi="Verdana" w:cs="Times New Roman"/>
                <w:bCs/>
                <w:sz w:val="20"/>
                <w:szCs w:val="20"/>
              </w:rPr>
              <w:t xml:space="preserve">(effective 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>0</w:t>
            </w:r>
            <w:r w:rsidR="006C5E4A">
              <w:rPr>
                <w:rFonts w:ascii="Verdana" w:hAnsi="Verdana" w:cs="Times New Roman"/>
                <w:bCs/>
                <w:sz w:val="20"/>
                <w:szCs w:val="20"/>
              </w:rPr>
              <w:t>8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>/</w:t>
            </w:r>
            <w:r w:rsidR="006C5E4A">
              <w:rPr>
                <w:rFonts w:ascii="Verdana" w:hAnsi="Verdana" w:cs="Times New Roman"/>
                <w:bCs/>
                <w:sz w:val="20"/>
                <w:szCs w:val="20"/>
              </w:rPr>
              <w:t>01</w:t>
            </w:r>
            <w:r>
              <w:rPr>
                <w:rFonts w:ascii="Verdana" w:hAnsi="Verdana" w:cs="Times New Roman"/>
                <w:bCs/>
                <w:sz w:val="20"/>
                <w:szCs w:val="20"/>
              </w:rPr>
              <w:t>/2024</w:t>
            </w:r>
            <w:r w:rsidRPr="00296EF6">
              <w:rPr>
                <w:rFonts w:ascii="Verdana" w:hAnsi="Verdana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370" w:type="dxa"/>
          </w:tcPr>
          <w:p w14:paraId="4467DF6B" w14:textId="0A54D9C2" w:rsidR="00822707" w:rsidRDefault="00AB7540" w:rsidP="00AB7540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AB7540">
              <w:rPr>
                <w:rFonts w:ascii="Verdana" w:hAnsi="Verdana" w:cs="Times New Roman"/>
                <w:sz w:val="20"/>
                <w:szCs w:val="20"/>
              </w:rPr>
              <w:t>A</w:t>
            </w:r>
            <w:r w:rsidR="00365381">
              <w:rPr>
                <w:rFonts w:ascii="Verdana" w:hAnsi="Verdana" w:cs="Times New Roman"/>
                <w:sz w:val="20"/>
                <w:szCs w:val="20"/>
              </w:rPr>
              <w:t>nktiva</w:t>
            </w:r>
            <w:proofErr w:type="spellEnd"/>
          </w:p>
          <w:p w14:paraId="645FEE62" w14:textId="77777777" w:rsidR="00AB7540" w:rsidRDefault="00365381" w:rsidP="00AB7540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Beqvez</w:t>
            </w:r>
            <w:proofErr w:type="spellEnd"/>
          </w:p>
          <w:p w14:paraId="1096147E" w14:textId="66861DCB" w:rsidR="00365381" w:rsidRPr="00AB7540" w:rsidRDefault="00365381" w:rsidP="00AB7540">
            <w:pPr>
              <w:pStyle w:val="ListParagraph"/>
              <w:numPr>
                <w:ilvl w:val="0"/>
                <w:numId w:val="27"/>
              </w:numPr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Lenmeldy</w:t>
            </w:r>
            <w:proofErr w:type="spellEnd"/>
          </w:p>
        </w:tc>
      </w:tr>
    </w:tbl>
    <w:p w14:paraId="4396F646" w14:textId="77777777" w:rsidR="004A4967" w:rsidRPr="0008291B" w:rsidRDefault="004A4967" w:rsidP="004A4967">
      <w:pPr>
        <w:rPr>
          <w:rFonts w:ascii="Verdana" w:eastAsia="Times New Roman" w:hAnsi="Verdana" w:cs="Arial"/>
          <w:sz w:val="20"/>
          <w:szCs w:val="20"/>
        </w:rPr>
      </w:pPr>
    </w:p>
    <w:sectPr w:rsidR="004A4967" w:rsidRPr="0008291B" w:rsidSect="00E70EBB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6F1D" w14:textId="77777777" w:rsidR="001E0B7A" w:rsidRDefault="001E0B7A">
      <w:r>
        <w:separator/>
      </w:r>
    </w:p>
  </w:endnote>
  <w:endnote w:type="continuationSeparator" w:id="0">
    <w:p w14:paraId="00004FC0" w14:textId="77777777" w:rsidR="001E0B7A" w:rsidRDefault="001E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973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9AB9F" w14:textId="223CE295" w:rsidR="00E24624" w:rsidRDefault="00E246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6F77D4" w14:textId="44197675" w:rsidR="003F1B83" w:rsidRPr="00E24624" w:rsidRDefault="003F1B83" w:rsidP="00E24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04DA" w14:textId="77777777" w:rsidR="001E0B7A" w:rsidRDefault="001E0B7A">
      <w:r>
        <w:separator/>
      </w:r>
    </w:p>
  </w:footnote>
  <w:footnote w:type="continuationSeparator" w:id="0">
    <w:p w14:paraId="48C996A1" w14:textId="77777777" w:rsidR="001E0B7A" w:rsidRDefault="001E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51D4" w14:textId="19B38D68" w:rsidR="003F1B83" w:rsidRDefault="003F1B83" w:rsidP="007813ED">
    <w:pPr>
      <w:spacing w:before="24"/>
      <w:ind w:right="-20"/>
      <w:jc w:val="center"/>
      <w:rPr>
        <w:rFonts w:ascii="Verdana" w:hAnsi="Verdana"/>
        <w:b/>
        <w:noProof/>
        <w:sz w:val="28"/>
        <w:szCs w:val="28"/>
      </w:rPr>
    </w:pPr>
    <w:r w:rsidRPr="007813ED">
      <w:rPr>
        <w:rFonts w:ascii="Verdana" w:hAnsi="Verdana"/>
        <w:i/>
        <w:iCs/>
        <w:noProof/>
        <w:color w:val="1F497D"/>
        <w:sz w:val="28"/>
        <w:szCs w:val="28"/>
      </w:rPr>
      <w:drawing>
        <wp:anchor distT="0" distB="0" distL="114300" distR="114300" simplePos="0" relativeHeight="251659264" behindDoc="0" locked="0" layoutInCell="1" allowOverlap="1" wp14:anchorId="435F0FDD" wp14:editId="4F530742">
          <wp:simplePos x="0" y="0"/>
          <wp:positionH relativeFrom="margin">
            <wp:posOffset>-352425</wp:posOffset>
          </wp:positionH>
          <wp:positionV relativeFrom="paragraph">
            <wp:posOffset>-336550</wp:posOffset>
          </wp:positionV>
          <wp:extent cx="1914525" cy="400050"/>
          <wp:effectExtent l="0" t="0" r="9525" b="0"/>
          <wp:wrapNone/>
          <wp:docPr id="1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5AC958" w14:textId="680F51F1" w:rsidR="003F1B83" w:rsidRPr="00C06728" w:rsidRDefault="00330E7F" w:rsidP="00080E04">
    <w:pPr>
      <w:spacing w:before="24"/>
      <w:ind w:right="-20"/>
      <w:jc w:val="center"/>
      <w:rPr>
        <w:rFonts w:ascii="Verdana" w:hAnsi="Verdana"/>
        <w:b/>
        <w:noProof/>
        <w:sz w:val="24"/>
        <w:szCs w:val="24"/>
      </w:rPr>
    </w:pPr>
    <w:r>
      <w:rPr>
        <w:rFonts w:ascii="Verdana" w:hAnsi="Verdana"/>
        <w:b/>
        <w:noProof/>
        <w:sz w:val="24"/>
        <w:szCs w:val="24"/>
      </w:rPr>
      <w:t>June</w:t>
    </w:r>
    <w:r w:rsidR="00455328">
      <w:rPr>
        <w:rFonts w:ascii="Verdana" w:hAnsi="Verdana"/>
        <w:b/>
        <w:noProof/>
        <w:sz w:val="24"/>
        <w:szCs w:val="24"/>
      </w:rPr>
      <w:t xml:space="preserve"> 202</w:t>
    </w:r>
    <w:r w:rsidR="007F3F30">
      <w:rPr>
        <w:rFonts w:ascii="Verdana" w:hAnsi="Verdana"/>
        <w:b/>
        <w:noProof/>
        <w:sz w:val="24"/>
        <w:szCs w:val="24"/>
      </w:rPr>
      <w:t>4</w:t>
    </w:r>
    <w:r w:rsidR="003F1B83"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 xml:space="preserve"> Pharmacy &amp; </w:t>
    </w:r>
    <w:r w:rsidR="003F1B83" w:rsidRPr="00C06728">
      <w:rPr>
        <w:rFonts w:ascii="Verdana" w:eastAsia="Times New Roman" w:hAnsi="Verdana" w:cs="Times New Roman"/>
        <w:b/>
        <w:bCs/>
        <w:sz w:val="24"/>
        <w:szCs w:val="24"/>
      </w:rPr>
      <w:t>Therapeutics</w:t>
    </w:r>
  </w:p>
  <w:p w14:paraId="3AEB01D9" w14:textId="19FDB444" w:rsidR="003F1B83" w:rsidRDefault="003F1B83" w:rsidP="007813ED">
    <w:pPr>
      <w:spacing w:before="24"/>
      <w:ind w:right="-20"/>
      <w:jc w:val="center"/>
      <w:rPr>
        <w:rFonts w:ascii="Verdana" w:eastAsia="Times New Roman" w:hAnsi="Verdana" w:cs="Times New Roman"/>
        <w:b/>
        <w:bCs/>
        <w:sz w:val="24"/>
        <w:szCs w:val="24"/>
      </w:rPr>
    </w:pPr>
    <w:r w:rsidRPr="00C06728">
      <w:rPr>
        <w:rFonts w:ascii="Verdana" w:eastAsia="Times New Roman" w:hAnsi="Verdana" w:cs="Times New Roman"/>
        <w:b/>
        <w:bCs/>
        <w:spacing w:val="-2"/>
        <w:sz w:val="24"/>
        <w:szCs w:val="24"/>
      </w:rPr>
      <w:t>C</w:t>
    </w:r>
    <w:r w:rsidRPr="00C06728">
      <w:rPr>
        <w:rFonts w:ascii="Verdana" w:eastAsia="Times New Roman" w:hAnsi="Verdana" w:cs="Times New Roman"/>
        <w:b/>
        <w:bCs/>
        <w:spacing w:val="2"/>
        <w:sz w:val="24"/>
        <w:szCs w:val="24"/>
      </w:rPr>
      <w:t>o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m</w:t>
    </w:r>
    <w:r w:rsidRPr="00C06728">
      <w:rPr>
        <w:rFonts w:ascii="Verdana" w:eastAsia="Times New Roman" w:hAnsi="Verdana" w:cs="Times New Roman"/>
        <w:b/>
        <w:bCs/>
        <w:spacing w:val="-3"/>
        <w:sz w:val="24"/>
        <w:szCs w:val="24"/>
      </w:rPr>
      <w:t>m</w:t>
    </w:r>
    <w:r w:rsidRPr="00C06728">
      <w:rPr>
        <w:rFonts w:ascii="Verdana" w:eastAsia="Times New Roman" w:hAnsi="Verdana" w:cs="Times New Roman"/>
        <w:b/>
        <w:bCs/>
        <w:spacing w:val="1"/>
        <w:sz w:val="24"/>
        <w:szCs w:val="24"/>
      </w:rPr>
      <w:t>i</w:t>
    </w:r>
    <w:r w:rsidRPr="00C06728">
      <w:rPr>
        <w:rFonts w:ascii="Verdana" w:eastAsia="Times New Roman" w:hAnsi="Verdana" w:cs="Times New Roman"/>
        <w:b/>
        <w:bCs/>
        <w:sz w:val="24"/>
        <w:szCs w:val="24"/>
      </w:rPr>
      <w:t xml:space="preserve">ttee 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D</w:t>
    </w:r>
    <w:r w:rsidRPr="00C06728">
      <w:rPr>
        <w:rFonts w:ascii="Verdana" w:eastAsia="Times New Roman" w:hAnsi="Verdana" w:cs="Times New Roman"/>
        <w:b/>
        <w:bCs/>
        <w:sz w:val="24"/>
        <w:szCs w:val="24"/>
      </w:rPr>
      <w:t>ec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i</w:t>
    </w:r>
    <w:r w:rsidRPr="00C06728">
      <w:rPr>
        <w:rFonts w:ascii="Verdana" w:eastAsia="Times New Roman" w:hAnsi="Verdana" w:cs="Times New Roman"/>
        <w:b/>
        <w:bCs/>
        <w:spacing w:val="1"/>
        <w:sz w:val="24"/>
        <w:szCs w:val="24"/>
      </w:rPr>
      <w:t>s</w:t>
    </w:r>
    <w:r w:rsidRPr="00C06728">
      <w:rPr>
        <w:rFonts w:ascii="Verdana" w:eastAsia="Times New Roman" w:hAnsi="Verdana" w:cs="Times New Roman"/>
        <w:b/>
        <w:bCs/>
        <w:spacing w:val="-1"/>
        <w:sz w:val="24"/>
        <w:szCs w:val="24"/>
      </w:rPr>
      <w:t>i</w:t>
    </w:r>
    <w:r w:rsidRPr="00C06728">
      <w:rPr>
        <w:rFonts w:ascii="Verdana" w:eastAsia="Times New Roman" w:hAnsi="Verdana" w:cs="Times New Roman"/>
        <w:b/>
        <w:bCs/>
        <w:spacing w:val="1"/>
        <w:sz w:val="24"/>
        <w:szCs w:val="24"/>
      </w:rPr>
      <w:t>o</w:t>
    </w:r>
    <w:r w:rsidRPr="00C06728">
      <w:rPr>
        <w:rFonts w:ascii="Verdana" w:eastAsia="Times New Roman" w:hAnsi="Verdana" w:cs="Times New Roman"/>
        <w:b/>
        <w:bCs/>
        <w:spacing w:val="-3"/>
        <w:sz w:val="24"/>
        <w:szCs w:val="24"/>
      </w:rPr>
      <w:t>n</w:t>
    </w:r>
    <w:r w:rsidRPr="00C06728">
      <w:rPr>
        <w:rFonts w:ascii="Verdana" w:eastAsia="Times New Roman" w:hAnsi="Verdana" w:cs="Times New Roman"/>
        <w:b/>
        <w:bCs/>
        <w:sz w:val="24"/>
        <w:szCs w:val="24"/>
      </w:rPr>
      <w:t>s</w:t>
    </w:r>
  </w:p>
  <w:p w14:paraId="34F965A0" w14:textId="77777777" w:rsidR="005D7E74" w:rsidRDefault="005D7E74" w:rsidP="007813ED">
    <w:pPr>
      <w:spacing w:before="24"/>
      <w:ind w:right="-20"/>
      <w:jc w:val="center"/>
      <w:rPr>
        <w:rFonts w:ascii="Verdana" w:eastAsia="Times New Roman" w:hAnsi="Verdana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1C6"/>
    <w:multiLevelType w:val="hybridMultilevel"/>
    <w:tmpl w:val="F640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32EC"/>
    <w:multiLevelType w:val="hybridMultilevel"/>
    <w:tmpl w:val="68F85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6A66"/>
    <w:multiLevelType w:val="hybridMultilevel"/>
    <w:tmpl w:val="34D8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17E23"/>
    <w:multiLevelType w:val="hybridMultilevel"/>
    <w:tmpl w:val="CF660648"/>
    <w:lvl w:ilvl="0" w:tplc="9994303E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376BE"/>
    <w:multiLevelType w:val="hybridMultilevel"/>
    <w:tmpl w:val="3F1C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4BCF"/>
    <w:multiLevelType w:val="hybridMultilevel"/>
    <w:tmpl w:val="164E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2C06"/>
    <w:multiLevelType w:val="hybridMultilevel"/>
    <w:tmpl w:val="24FC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04331"/>
    <w:multiLevelType w:val="hybridMultilevel"/>
    <w:tmpl w:val="0A2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4449C"/>
    <w:multiLevelType w:val="hybridMultilevel"/>
    <w:tmpl w:val="3A4A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E7BD8"/>
    <w:multiLevelType w:val="hybridMultilevel"/>
    <w:tmpl w:val="6784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E7C42"/>
    <w:multiLevelType w:val="hybridMultilevel"/>
    <w:tmpl w:val="9E0E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935C1"/>
    <w:multiLevelType w:val="hybridMultilevel"/>
    <w:tmpl w:val="B9046FD0"/>
    <w:lvl w:ilvl="0" w:tplc="6D0262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835DF"/>
    <w:multiLevelType w:val="hybridMultilevel"/>
    <w:tmpl w:val="BA2E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96192"/>
    <w:multiLevelType w:val="hybridMultilevel"/>
    <w:tmpl w:val="C0C49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8522D"/>
    <w:multiLevelType w:val="hybridMultilevel"/>
    <w:tmpl w:val="C242F7C8"/>
    <w:lvl w:ilvl="0" w:tplc="76FC13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EEDF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30BE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BC9B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A2D2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8A1A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CC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72F9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2EBB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248511A"/>
    <w:multiLevelType w:val="hybridMultilevel"/>
    <w:tmpl w:val="347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92DCC"/>
    <w:multiLevelType w:val="hybridMultilevel"/>
    <w:tmpl w:val="2A42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D6BC1"/>
    <w:multiLevelType w:val="hybridMultilevel"/>
    <w:tmpl w:val="512A1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C507C"/>
    <w:multiLevelType w:val="hybridMultilevel"/>
    <w:tmpl w:val="D49E3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14A70"/>
    <w:multiLevelType w:val="hybridMultilevel"/>
    <w:tmpl w:val="0D6C3062"/>
    <w:lvl w:ilvl="0" w:tplc="9994303E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628B3463"/>
    <w:multiLevelType w:val="hybridMultilevel"/>
    <w:tmpl w:val="0116FED6"/>
    <w:lvl w:ilvl="0" w:tplc="9994303E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12A8"/>
    <w:multiLevelType w:val="hybridMultilevel"/>
    <w:tmpl w:val="4382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64065"/>
    <w:multiLevelType w:val="hybridMultilevel"/>
    <w:tmpl w:val="1F50C03C"/>
    <w:lvl w:ilvl="0" w:tplc="DF3CB18E">
      <w:start w:val="1"/>
      <w:numFmt w:val="decimal"/>
      <w:suff w:val="nothing"/>
      <w:lvlText w:val="%1."/>
      <w:lvlJc w:val="left"/>
      <w:pPr>
        <w:ind w:left="0" w:firstLine="72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35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3272A"/>
    <w:multiLevelType w:val="hybridMultilevel"/>
    <w:tmpl w:val="7122C8E2"/>
    <w:lvl w:ilvl="0" w:tplc="04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24" w15:restartNumberingAfterBreak="0">
    <w:nsid w:val="6F2106AB"/>
    <w:multiLevelType w:val="hybridMultilevel"/>
    <w:tmpl w:val="D6C6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E81CA9"/>
    <w:multiLevelType w:val="hybridMultilevel"/>
    <w:tmpl w:val="7066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749E3"/>
    <w:multiLevelType w:val="hybridMultilevel"/>
    <w:tmpl w:val="C4FE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00779">
    <w:abstractNumId w:val="21"/>
  </w:num>
  <w:num w:numId="2" w16cid:durableId="1978099830">
    <w:abstractNumId w:val="23"/>
  </w:num>
  <w:num w:numId="3" w16cid:durableId="1002123467">
    <w:abstractNumId w:val="9"/>
  </w:num>
  <w:num w:numId="4" w16cid:durableId="32199846">
    <w:abstractNumId w:val="1"/>
  </w:num>
  <w:num w:numId="5" w16cid:durableId="197477088">
    <w:abstractNumId w:val="7"/>
  </w:num>
  <w:num w:numId="6" w16cid:durableId="1379547306">
    <w:abstractNumId w:val="15"/>
  </w:num>
  <w:num w:numId="7" w16cid:durableId="919951421">
    <w:abstractNumId w:val="8"/>
  </w:num>
  <w:num w:numId="8" w16cid:durableId="63340024">
    <w:abstractNumId w:val="6"/>
  </w:num>
  <w:num w:numId="9" w16cid:durableId="219295041">
    <w:abstractNumId w:val="11"/>
  </w:num>
  <w:num w:numId="10" w16cid:durableId="1379088175">
    <w:abstractNumId w:val="17"/>
  </w:num>
  <w:num w:numId="11" w16cid:durableId="1358458559">
    <w:abstractNumId w:val="26"/>
  </w:num>
  <w:num w:numId="12" w16cid:durableId="832255705">
    <w:abstractNumId w:val="5"/>
  </w:num>
  <w:num w:numId="13" w16cid:durableId="1048648586">
    <w:abstractNumId w:val="19"/>
  </w:num>
  <w:num w:numId="14" w16cid:durableId="865485552">
    <w:abstractNumId w:val="20"/>
  </w:num>
  <w:num w:numId="15" w16cid:durableId="40174074">
    <w:abstractNumId w:val="3"/>
  </w:num>
  <w:num w:numId="16" w16cid:durableId="816722650">
    <w:abstractNumId w:val="0"/>
  </w:num>
  <w:num w:numId="17" w16cid:durableId="345718672">
    <w:abstractNumId w:val="13"/>
  </w:num>
  <w:num w:numId="18" w16cid:durableId="1082531695">
    <w:abstractNumId w:val="18"/>
  </w:num>
  <w:num w:numId="19" w16cid:durableId="1500077621">
    <w:abstractNumId w:val="2"/>
  </w:num>
  <w:num w:numId="20" w16cid:durableId="1599602900">
    <w:abstractNumId w:val="12"/>
  </w:num>
  <w:num w:numId="21" w16cid:durableId="1137836206">
    <w:abstractNumId w:val="25"/>
  </w:num>
  <w:num w:numId="22" w16cid:durableId="1030061509">
    <w:abstractNumId w:val="24"/>
  </w:num>
  <w:num w:numId="23" w16cid:durableId="753742264">
    <w:abstractNumId w:val="10"/>
  </w:num>
  <w:num w:numId="24" w16cid:durableId="1871331762">
    <w:abstractNumId w:val="22"/>
  </w:num>
  <w:num w:numId="25" w16cid:durableId="1879584921">
    <w:abstractNumId w:val="4"/>
  </w:num>
  <w:num w:numId="26" w16cid:durableId="2136289971">
    <w:abstractNumId w:val="14"/>
  </w:num>
  <w:num w:numId="27" w16cid:durableId="4626229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6F"/>
    <w:rsid w:val="00001331"/>
    <w:rsid w:val="00013B7E"/>
    <w:rsid w:val="00015A48"/>
    <w:rsid w:val="000276E5"/>
    <w:rsid w:val="00027B5D"/>
    <w:rsid w:val="0003103B"/>
    <w:rsid w:val="00041EE0"/>
    <w:rsid w:val="00042572"/>
    <w:rsid w:val="0005112F"/>
    <w:rsid w:val="0005632B"/>
    <w:rsid w:val="00062D9B"/>
    <w:rsid w:val="00072DE3"/>
    <w:rsid w:val="000762F7"/>
    <w:rsid w:val="00077220"/>
    <w:rsid w:val="00080E04"/>
    <w:rsid w:val="0008291B"/>
    <w:rsid w:val="0008523F"/>
    <w:rsid w:val="000863CE"/>
    <w:rsid w:val="00090CB6"/>
    <w:rsid w:val="000A29D3"/>
    <w:rsid w:val="000A3A58"/>
    <w:rsid w:val="000A6E31"/>
    <w:rsid w:val="000B1E4B"/>
    <w:rsid w:val="000B377F"/>
    <w:rsid w:val="000B6BBD"/>
    <w:rsid w:val="000C0DF2"/>
    <w:rsid w:val="000C1AED"/>
    <w:rsid w:val="000C5531"/>
    <w:rsid w:val="000E3555"/>
    <w:rsid w:val="000E718C"/>
    <w:rsid w:val="000E7E43"/>
    <w:rsid w:val="000F3657"/>
    <w:rsid w:val="00103223"/>
    <w:rsid w:val="00111747"/>
    <w:rsid w:val="00113BFC"/>
    <w:rsid w:val="00123683"/>
    <w:rsid w:val="00123A36"/>
    <w:rsid w:val="00153FC2"/>
    <w:rsid w:val="00154175"/>
    <w:rsid w:val="0016796B"/>
    <w:rsid w:val="001679C6"/>
    <w:rsid w:val="001737B3"/>
    <w:rsid w:val="00173929"/>
    <w:rsid w:val="00174C58"/>
    <w:rsid w:val="001762D1"/>
    <w:rsid w:val="00181BB5"/>
    <w:rsid w:val="001877A4"/>
    <w:rsid w:val="001A5644"/>
    <w:rsid w:val="001A7D1B"/>
    <w:rsid w:val="001B05E8"/>
    <w:rsid w:val="001B671E"/>
    <w:rsid w:val="001B70F1"/>
    <w:rsid w:val="001C0339"/>
    <w:rsid w:val="001C4424"/>
    <w:rsid w:val="001C6A3A"/>
    <w:rsid w:val="001D1C4F"/>
    <w:rsid w:val="001E0B7A"/>
    <w:rsid w:val="001E24D2"/>
    <w:rsid w:val="001E373C"/>
    <w:rsid w:val="001E756A"/>
    <w:rsid w:val="001F15E8"/>
    <w:rsid w:val="00200C5D"/>
    <w:rsid w:val="0020307C"/>
    <w:rsid w:val="00217B3A"/>
    <w:rsid w:val="00222189"/>
    <w:rsid w:val="00224305"/>
    <w:rsid w:val="002248EA"/>
    <w:rsid w:val="00227DA7"/>
    <w:rsid w:val="0023110B"/>
    <w:rsid w:val="00240902"/>
    <w:rsid w:val="002530EB"/>
    <w:rsid w:val="00254712"/>
    <w:rsid w:val="00263AA5"/>
    <w:rsid w:val="00276D88"/>
    <w:rsid w:val="002776D4"/>
    <w:rsid w:val="00282F97"/>
    <w:rsid w:val="00286B01"/>
    <w:rsid w:val="00287036"/>
    <w:rsid w:val="00291916"/>
    <w:rsid w:val="00296E12"/>
    <w:rsid w:val="00296EF6"/>
    <w:rsid w:val="002A5AA8"/>
    <w:rsid w:val="002B26A4"/>
    <w:rsid w:val="002B3F56"/>
    <w:rsid w:val="002C7005"/>
    <w:rsid w:val="002D282C"/>
    <w:rsid w:val="002E3600"/>
    <w:rsid w:val="002E4598"/>
    <w:rsid w:val="00300359"/>
    <w:rsid w:val="00303B44"/>
    <w:rsid w:val="0030564B"/>
    <w:rsid w:val="0031220E"/>
    <w:rsid w:val="0031642B"/>
    <w:rsid w:val="003167C3"/>
    <w:rsid w:val="00320E7E"/>
    <w:rsid w:val="0032109D"/>
    <w:rsid w:val="00326070"/>
    <w:rsid w:val="00330E7F"/>
    <w:rsid w:val="0033413B"/>
    <w:rsid w:val="003357F7"/>
    <w:rsid w:val="00342BF8"/>
    <w:rsid w:val="00347603"/>
    <w:rsid w:val="00347888"/>
    <w:rsid w:val="00350CBF"/>
    <w:rsid w:val="00352182"/>
    <w:rsid w:val="00357691"/>
    <w:rsid w:val="003628BE"/>
    <w:rsid w:val="003637F1"/>
    <w:rsid w:val="00365381"/>
    <w:rsid w:val="003718D1"/>
    <w:rsid w:val="00374925"/>
    <w:rsid w:val="0037536D"/>
    <w:rsid w:val="0037686F"/>
    <w:rsid w:val="00376CD6"/>
    <w:rsid w:val="00377322"/>
    <w:rsid w:val="0038015B"/>
    <w:rsid w:val="003847EC"/>
    <w:rsid w:val="00393788"/>
    <w:rsid w:val="00393F0F"/>
    <w:rsid w:val="003A2BC8"/>
    <w:rsid w:val="003A2FBC"/>
    <w:rsid w:val="003B6BD2"/>
    <w:rsid w:val="003C216A"/>
    <w:rsid w:val="003C30B6"/>
    <w:rsid w:val="003C4DD7"/>
    <w:rsid w:val="003D089B"/>
    <w:rsid w:val="003D0A4A"/>
    <w:rsid w:val="003E5867"/>
    <w:rsid w:val="003F1B83"/>
    <w:rsid w:val="003F605C"/>
    <w:rsid w:val="00400E1D"/>
    <w:rsid w:val="00405517"/>
    <w:rsid w:val="00407397"/>
    <w:rsid w:val="00411EE3"/>
    <w:rsid w:val="004178F5"/>
    <w:rsid w:val="004265F7"/>
    <w:rsid w:val="00440BB7"/>
    <w:rsid w:val="0044162D"/>
    <w:rsid w:val="004430D3"/>
    <w:rsid w:val="00443AD2"/>
    <w:rsid w:val="00443D2D"/>
    <w:rsid w:val="00443FD7"/>
    <w:rsid w:val="004471A0"/>
    <w:rsid w:val="00453C40"/>
    <w:rsid w:val="00455328"/>
    <w:rsid w:val="00455724"/>
    <w:rsid w:val="0045729E"/>
    <w:rsid w:val="00460EDB"/>
    <w:rsid w:val="00463796"/>
    <w:rsid w:val="004878FB"/>
    <w:rsid w:val="0049166B"/>
    <w:rsid w:val="004934D4"/>
    <w:rsid w:val="004971A5"/>
    <w:rsid w:val="004A3F96"/>
    <w:rsid w:val="004A4967"/>
    <w:rsid w:val="004B468F"/>
    <w:rsid w:val="004B4A2D"/>
    <w:rsid w:val="004B5320"/>
    <w:rsid w:val="004B7440"/>
    <w:rsid w:val="004C1325"/>
    <w:rsid w:val="004C1625"/>
    <w:rsid w:val="004C1E77"/>
    <w:rsid w:val="004C5F89"/>
    <w:rsid w:val="004C78BE"/>
    <w:rsid w:val="004D093E"/>
    <w:rsid w:val="004D176F"/>
    <w:rsid w:val="004D5183"/>
    <w:rsid w:val="004D6922"/>
    <w:rsid w:val="004E6FF6"/>
    <w:rsid w:val="004F2F90"/>
    <w:rsid w:val="004F5834"/>
    <w:rsid w:val="004F7C78"/>
    <w:rsid w:val="00501F1C"/>
    <w:rsid w:val="00507646"/>
    <w:rsid w:val="00511917"/>
    <w:rsid w:val="00523363"/>
    <w:rsid w:val="005247AA"/>
    <w:rsid w:val="0053124A"/>
    <w:rsid w:val="005471DD"/>
    <w:rsid w:val="00552179"/>
    <w:rsid w:val="005607E2"/>
    <w:rsid w:val="00567170"/>
    <w:rsid w:val="00570471"/>
    <w:rsid w:val="005842E0"/>
    <w:rsid w:val="005919AE"/>
    <w:rsid w:val="005923D0"/>
    <w:rsid w:val="00595206"/>
    <w:rsid w:val="00596B6A"/>
    <w:rsid w:val="005A0F54"/>
    <w:rsid w:val="005A4597"/>
    <w:rsid w:val="005A54CD"/>
    <w:rsid w:val="005A7171"/>
    <w:rsid w:val="005B07DA"/>
    <w:rsid w:val="005B6F69"/>
    <w:rsid w:val="005C2E2A"/>
    <w:rsid w:val="005C6C17"/>
    <w:rsid w:val="005C7E4C"/>
    <w:rsid w:val="005D02FA"/>
    <w:rsid w:val="005D0AD5"/>
    <w:rsid w:val="005D5A8C"/>
    <w:rsid w:val="005D7E74"/>
    <w:rsid w:val="005E2989"/>
    <w:rsid w:val="005E716D"/>
    <w:rsid w:val="005E7889"/>
    <w:rsid w:val="005F2A5F"/>
    <w:rsid w:val="005F3EFF"/>
    <w:rsid w:val="0060264F"/>
    <w:rsid w:val="0062160D"/>
    <w:rsid w:val="006223BC"/>
    <w:rsid w:val="00630D15"/>
    <w:rsid w:val="00631DE6"/>
    <w:rsid w:val="006324B9"/>
    <w:rsid w:val="00632618"/>
    <w:rsid w:val="0063466E"/>
    <w:rsid w:val="0063560A"/>
    <w:rsid w:val="0063773D"/>
    <w:rsid w:val="006411FC"/>
    <w:rsid w:val="00644FCA"/>
    <w:rsid w:val="00646B34"/>
    <w:rsid w:val="00647476"/>
    <w:rsid w:val="00651BDB"/>
    <w:rsid w:val="00651F73"/>
    <w:rsid w:val="00653C33"/>
    <w:rsid w:val="00654666"/>
    <w:rsid w:val="0065705C"/>
    <w:rsid w:val="006623BA"/>
    <w:rsid w:val="0066383F"/>
    <w:rsid w:val="006678A7"/>
    <w:rsid w:val="00670D60"/>
    <w:rsid w:val="00672217"/>
    <w:rsid w:val="006732A8"/>
    <w:rsid w:val="006746EE"/>
    <w:rsid w:val="006804D8"/>
    <w:rsid w:val="00684C33"/>
    <w:rsid w:val="00690B16"/>
    <w:rsid w:val="006935BF"/>
    <w:rsid w:val="0069703B"/>
    <w:rsid w:val="006977BA"/>
    <w:rsid w:val="006A5737"/>
    <w:rsid w:val="006B16C1"/>
    <w:rsid w:val="006C5E4A"/>
    <w:rsid w:val="006C6F0C"/>
    <w:rsid w:val="006D3FF4"/>
    <w:rsid w:val="006E7EE6"/>
    <w:rsid w:val="006F3BD7"/>
    <w:rsid w:val="006F62E8"/>
    <w:rsid w:val="007010BB"/>
    <w:rsid w:val="007044D6"/>
    <w:rsid w:val="00705890"/>
    <w:rsid w:val="00710E9D"/>
    <w:rsid w:val="00723809"/>
    <w:rsid w:val="0073440C"/>
    <w:rsid w:val="0073594F"/>
    <w:rsid w:val="00741038"/>
    <w:rsid w:val="00752274"/>
    <w:rsid w:val="007523CA"/>
    <w:rsid w:val="00755911"/>
    <w:rsid w:val="007575C7"/>
    <w:rsid w:val="00760FBC"/>
    <w:rsid w:val="00761F43"/>
    <w:rsid w:val="00762CBA"/>
    <w:rsid w:val="00764303"/>
    <w:rsid w:val="00765246"/>
    <w:rsid w:val="00766DC0"/>
    <w:rsid w:val="00776016"/>
    <w:rsid w:val="007813ED"/>
    <w:rsid w:val="00791941"/>
    <w:rsid w:val="007977D3"/>
    <w:rsid w:val="007A2D68"/>
    <w:rsid w:val="007A2E41"/>
    <w:rsid w:val="007A586C"/>
    <w:rsid w:val="007A7913"/>
    <w:rsid w:val="007A7E74"/>
    <w:rsid w:val="007C152F"/>
    <w:rsid w:val="007D11A0"/>
    <w:rsid w:val="007D1D6A"/>
    <w:rsid w:val="007D3B4E"/>
    <w:rsid w:val="007D59EC"/>
    <w:rsid w:val="007D7099"/>
    <w:rsid w:val="007D7F52"/>
    <w:rsid w:val="007E2C73"/>
    <w:rsid w:val="007F3F30"/>
    <w:rsid w:val="007F4708"/>
    <w:rsid w:val="007F475C"/>
    <w:rsid w:val="007F5D21"/>
    <w:rsid w:val="00810A35"/>
    <w:rsid w:val="0081196F"/>
    <w:rsid w:val="008146C0"/>
    <w:rsid w:val="00814D6B"/>
    <w:rsid w:val="00814EE1"/>
    <w:rsid w:val="00820934"/>
    <w:rsid w:val="00822707"/>
    <w:rsid w:val="00832DF6"/>
    <w:rsid w:val="00832EB0"/>
    <w:rsid w:val="00837406"/>
    <w:rsid w:val="00843F92"/>
    <w:rsid w:val="00844266"/>
    <w:rsid w:val="00844806"/>
    <w:rsid w:val="00852F8C"/>
    <w:rsid w:val="008615D7"/>
    <w:rsid w:val="0086202F"/>
    <w:rsid w:val="00870C50"/>
    <w:rsid w:val="00873F95"/>
    <w:rsid w:val="008747E1"/>
    <w:rsid w:val="00875379"/>
    <w:rsid w:val="00876EFE"/>
    <w:rsid w:val="00876F27"/>
    <w:rsid w:val="00886C6D"/>
    <w:rsid w:val="00886F40"/>
    <w:rsid w:val="008907FC"/>
    <w:rsid w:val="0089593C"/>
    <w:rsid w:val="008A03E8"/>
    <w:rsid w:val="008A3424"/>
    <w:rsid w:val="008B1C3E"/>
    <w:rsid w:val="008B2543"/>
    <w:rsid w:val="008B2789"/>
    <w:rsid w:val="008D2E75"/>
    <w:rsid w:val="008D34C4"/>
    <w:rsid w:val="008D566F"/>
    <w:rsid w:val="008E2C56"/>
    <w:rsid w:val="008E332C"/>
    <w:rsid w:val="008E4E86"/>
    <w:rsid w:val="008E57B6"/>
    <w:rsid w:val="008F2FB5"/>
    <w:rsid w:val="008F582F"/>
    <w:rsid w:val="00901C99"/>
    <w:rsid w:val="00901F72"/>
    <w:rsid w:val="00906017"/>
    <w:rsid w:val="00911CE5"/>
    <w:rsid w:val="00911DEB"/>
    <w:rsid w:val="00914400"/>
    <w:rsid w:val="00914747"/>
    <w:rsid w:val="0091573D"/>
    <w:rsid w:val="00920315"/>
    <w:rsid w:val="00934B10"/>
    <w:rsid w:val="00941DB4"/>
    <w:rsid w:val="0095205D"/>
    <w:rsid w:val="00956AB9"/>
    <w:rsid w:val="00964238"/>
    <w:rsid w:val="009645C1"/>
    <w:rsid w:val="00970958"/>
    <w:rsid w:val="00970C72"/>
    <w:rsid w:val="00970FE4"/>
    <w:rsid w:val="00972555"/>
    <w:rsid w:val="0097530B"/>
    <w:rsid w:val="00975A46"/>
    <w:rsid w:val="00976ECF"/>
    <w:rsid w:val="0098015B"/>
    <w:rsid w:val="009927A3"/>
    <w:rsid w:val="0099506A"/>
    <w:rsid w:val="00995073"/>
    <w:rsid w:val="009A191A"/>
    <w:rsid w:val="009A327F"/>
    <w:rsid w:val="009C12CD"/>
    <w:rsid w:val="009C2659"/>
    <w:rsid w:val="009E4205"/>
    <w:rsid w:val="009F5B06"/>
    <w:rsid w:val="00A005B8"/>
    <w:rsid w:val="00A02DD7"/>
    <w:rsid w:val="00A07721"/>
    <w:rsid w:val="00A12D85"/>
    <w:rsid w:val="00A1528B"/>
    <w:rsid w:val="00A164C4"/>
    <w:rsid w:val="00A201AE"/>
    <w:rsid w:val="00A22479"/>
    <w:rsid w:val="00A237A9"/>
    <w:rsid w:val="00A24C6C"/>
    <w:rsid w:val="00A30660"/>
    <w:rsid w:val="00A356E9"/>
    <w:rsid w:val="00A4706E"/>
    <w:rsid w:val="00A47147"/>
    <w:rsid w:val="00A54A60"/>
    <w:rsid w:val="00A640AB"/>
    <w:rsid w:val="00A66B54"/>
    <w:rsid w:val="00A829B7"/>
    <w:rsid w:val="00A82C92"/>
    <w:rsid w:val="00A84469"/>
    <w:rsid w:val="00AA2672"/>
    <w:rsid w:val="00AA31FF"/>
    <w:rsid w:val="00AB0E4C"/>
    <w:rsid w:val="00AB1450"/>
    <w:rsid w:val="00AB22E9"/>
    <w:rsid w:val="00AB6C97"/>
    <w:rsid w:val="00AB7540"/>
    <w:rsid w:val="00AC4968"/>
    <w:rsid w:val="00AD0D0C"/>
    <w:rsid w:val="00AD28A5"/>
    <w:rsid w:val="00AD333B"/>
    <w:rsid w:val="00AD34C7"/>
    <w:rsid w:val="00AD4610"/>
    <w:rsid w:val="00AD66FA"/>
    <w:rsid w:val="00AE1D31"/>
    <w:rsid w:val="00AE6351"/>
    <w:rsid w:val="00AE79B0"/>
    <w:rsid w:val="00AF0175"/>
    <w:rsid w:val="00AF18FE"/>
    <w:rsid w:val="00AF2228"/>
    <w:rsid w:val="00AF3556"/>
    <w:rsid w:val="00AF502D"/>
    <w:rsid w:val="00B15806"/>
    <w:rsid w:val="00B26334"/>
    <w:rsid w:val="00B341E2"/>
    <w:rsid w:val="00B42D27"/>
    <w:rsid w:val="00B452FC"/>
    <w:rsid w:val="00B45B7C"/>
    <w:rsid w:val="00B53640"/>
    <w:rsid w:val="00B54FDE"/>
    <w:rsid w:val="00B552FE"/>
    <w:rsid w:val="00B76A29"/>
    <w:rsid w:val="00B80CEA"/>
    <w:rsid w:val="00B81F89"/>
    <w:rsid w:val="00B91F98"/>
    <w:rsid w:val="00B96566"/>
    <w:rsid w:val="00B969C8"/>
    <w:rsid w:val="00BA476A"/>
    <w:rsid w:val="00BA5EBF"/>
    <w:rsid w:val="00BA65CE"/>
    <w:rsid w:val="00BA6D19"/>
    <w:rsid w:val="00BA7E1A"/>
    <w:rsid w:val="00BB0FE6"/>
    <w:rsid w:val="00BB3847"/>
    <w:rsid w:val="00BB3E10"/>
    <w:rsid w:val="00BB7425"/>
    <w:rsid w:val="00BC0998"/>
    <w:rsid w:val="00BD0499"/>
    <w:rsid w:val="00BD0C1E"/>
    <w:rsid w:val="00BD1D0F"/>
    <w:rsid w:val="00BD4764"/>
    <w:rsid w:val="00BE479A"/>
    <w:rsid w:val="00C0196F"/>
    <w:rsid w:val="00C06728"/>
    <w:rsid w:val="00C10694"/>
    <w:rsid w:val="00C119D2"/>
    <w:rsid w:val="00C11ADE"/>
    <w:rsid w:val="00C2794E"/>
    <w:rsid w:val="00C3217C"/>
    <w:rsid w:val="00C32D5D"/>
    <w:rsid w:val="00C36463"/>
    <w:rsid w:val="00C45D79"/>
    <w:rsid w:val="00C534D5"/>
    <w:rsid w:val="00C53605"/>
    <w:rsid w:val="00C625FE"/>
    <w:rsid w:val="00C83FC4"/>
    <w:rsid w:val="00C908F5"/>
    <w:rsid w:val="00CA4C87"/>
    <w:rsid w:val="00CB1165"/>
    <w:rsid w:val="00CB7322"/>
    <w:rsid w:val="00CD33D9"/>
    <w:rsid w:val="00CD7CCD"/>
    <w:rsid w:val="00CE6933"/>
    <w:rsid w:val="00CF0AE6"/>
    <w:rsid w:val="00CF20AC"/>
    <w:rsid w:val="00CF3528"/>
    <w:rsid w:val="00D0156A"/>
    <w:rsid w:val="00D04062"/>
    <w:rsid w:val="00D05CEA"/>
    <w:rsid w:val="00D06B4E"/>
    <w:rsid w:val="00D149B9"/>
    <w:rsid w:val="00D20342"/>
    <w:rsid w:val="00D209F3"/>
    <w:rsid w:val="00D21FA9"/>
    <w:rsid w:val="00D2576D"/>
    <w:rsid w:val="00D26979"/>
    <w:rsid w:val="00D3175B"/>
    <w:rsid w:val="00D358CA"/>
    <w:rsid w:val="00D4079E"/>
    <w:rsid w:val="00D46781"/>
    <w:rsid w:val="00D46C3A"/>
    <w:rsid w:val="00D476D1"/>
    <w:rsid w:val="00D5135F"/>
    <w:rsid w:val="00D57D61"/>
    <w:rsid w:val="00D633E8"/>
    <w:rsid w:val="00D80B16"/>
    <w:rsid w:val="00D84EC6"/>
    <w:rsid w:val="00D877F3"/>
    <w:rsid w:val="00D9015D"/>
    <w:rsid w:val="00DA2B74"/>
    <w:rsid w:val="00DA3259"/>
    <w:rsid w:val="00DB5D81"/>
    <w:rsid w:val="00DB6129"/>
    <w:rsid w:val="00DB76EA"/>
    <w:rsid w:val="00DC189A"/>
    <w:rsid w:val="00DC3D3E"/>
    <w:rsid w:val="00DC7D01"/>
    <w:rsid w:val="00DD7640"/>
    <w:rsid w:val="00DD7DA3"/>
    <w:rsid w:val="00DE063F"/>
    <w:rsid w:val="00DF0239"/>
    <w:rsid w:val="00DF3108"/>
    <w:rsid w:val="00E006EC"/>
    <w:rsid w:val="00E013CB"/>
    <w:rsid w:val="00E07AE9"/>
    <w:rsid w:val="00E13B43"/>
    <w:rsid w:val="00E15C2F"/>
    <w:rsid w:val="00E174F6"/>
    <w:rsid w:val="00E24624"/>
    <w:rsid w:val="00E319C1"/>
    <w:rsid w:val="00E32DDA"/>
    <w:rsid w:val="00E4366B"/>
    <w:rsid w:val="00E44EED"/>
    <w:rsid w:val="00E46327"/>
    <w:rsid w:val="00E474FD"/>
    <w:rsid w:val="00E54B19"/>
    <w:rsid w:val="00E70EBB"/>
    <w:rsid w:val="00E71DCB"/>
    <w:rsid w:val="00E744C8"/>
    <w:rsid w:val="00E74BF6"/>
    <w:rsid w:val="00E7525F"/>
    <w:rsid w:val="00E77836"/>
    <w:rsid w:val="00E8102A"/>
    <w:rsid w:val="00E82183"/>
    <w:rsid w:val="00E84053"/>
    <w:rsid w:val="00E841AA"/>
    <w:rsid w:val="00E85C8E"/>
    <w:rsid w:val="00E864E7"/>
    <w:rsid w:val="00E902DB"/>
    <w:rsid w:val="00E91C92"/>
    <w:rsid w:val="00EB661B"/>
    <w:rsid w:val="00EB71D7"/>
    <w:rsid w:val="00EC06CC"/>
    <w:rsid w:val="00EC703C"/>
    <w:rsid w:val="00ED320C"/>
    <w:rsid w:val="00EE322F"/>
    <w:rsid w:val="00EE634E"/>
    <w:rsid w:val="00F003A7"/>
    <w:rsid w:val="00F05FFE"/>
    <w:rsid w:val="00F15BF5"/>
    <w:rsid w:val="00F24DFC"/>
    <w:rsid w:val="00F31CE2"/>
    <w:rsid w:val="00F60FB8"/>
    <w:rsid w:val="00F73C1A"/>
    <w:rsid w:val="00F76C61"/>
    <w:rsid w:val="00F8644A"/>
    <w:rsid w:val="00F91E3D"/>
    <w:rsid w:val="00F926B2"/>
    <w:rsid w:val="00F965E0"/>
    <w:rsid w:val="00FA1D1E"/>
    <w:rsid w:val="00FA3D06"/>
    <w:rsid w:val="00FA49A1"/>
    <w:rsid w:val="00FA7C28"/>
    <w:rsid w:val="00FB3A36"/>
    <w:rsid w:val="00FB3F79"/>
    <w:rsid w:val="00FC051D"/>
    <w:rsid w:val="00FC4D27"/>
    <w:rsid w:val="00FC6389"/>
    <w:rsid w:val="00FD6E95"/>
    <w:rsid w:val="00FE05CF"/>
    <w:rsid w:val="00FE7640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  <w14:docId w14:val="2789C8C4"/>
  <w15:docId w15:val="{D20B5484-1A6A-4CB2-9674-5051FC0C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A35"/>
  </w:style>
  <w:style w:type="paragraph" w:styleId="Footer">
    <w:name w:val="footer"/>
    <w:basedOn w:val="Normal"/>
    <w:link w:val="FooterChar"/>
    <w:uiPriority w:val="99"/>
    <w:unhideWhenUsed/>
    <w:rsid w:val="00810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A35"/>
  </w:style>
  <w:style w:type="table" w:styleId="TableGrid">
    <w:name w:val="Table Grid"/>
    <w:basedOn w:val="TableNormal"/>
    <w:uiPriority w:val="39"/>
    <w:rsid w:val="00552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55217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3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6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1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5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5E8"/>
    <w:rPr>
      <w:b/>
      <w:bCs/>
      <w:sz w:val="20"/>
      <w:szCs w:val="20"/>
    </w:rPr>
  </w:style>
  <w:style w:type="paragraph" w:styleId="NoSpacing">
    <w:name w:val="No Spacing"/>
    <w:uiPriority w:val="1"/>
    <w:qFormat/>
    <w:rsid w:val="00A237A9"/>
  </w:style>
  <w:style w:type="paragraph" w:customStyle="1" w:styleId="Standard1">
    <w:name w:val="Standard1"/>
    <w:basedOn w:val="Normal"/>
    <w:rsid w:val="00374925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F9BD.419698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C65A-7379-4546-A0DC-209D82E6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Ucare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 Som</dc:creator>
  <cp:keywords/>
  <dc:description/>
  <cp:lastModifiedBy>Lynda Laitinen-Terlecki</cp:lastModifiedBy>
  <cp:revision>4</cp:revision>
  <cp:lastPrinted>2021-03-05T16:16:00Z</cp:lastPrinted>
  <dcterms:created xsi:type="dcterms:W3CDTF">2024-07-01T13:05:00Z</dcterms:created>
  <dcterms:modified xsi:type="dcterms:W3CDTF">2024-07-01T13:54:00Z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LastSaved">
    <vt:filetime>2014-10-08T00:00:00Z</vt:filetime>
  </property>
</Properties>
</file>