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287" w14:textId="67FA93B7" w:rsidR="004A3F96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proofErr w:type="spellStart"/>
      <w:r w:rsidRPr="00A05F99">
        <w:rPr>
          <w:rFonts w:ascii="Verdana" w:eastAsia="Times New Roman" w:hAnsi="Verdana" w:cs="Times New Roman"/>
          <w:bCs/>
          <w:spacing w:val="2"/>
        </w:rPr>
        <w:t>UCare</w:t>
      </w:r>
      <w:r w:rsidR="00440BB7" w:rsidRPr="00A05F99">
        <w:rPr>
          <w:rFonts w:ascii="Verdana" w:eastAsia="Times New Roman" w:hAnsi="Verdana" w:cs="Times New Roman"/>
          <w:bCs/>
          <w:spacing w:val="2"/>
        </w:rPr>
        <w:t>’s</w:t>
      </w:r>
      <w:proofErr w:type="spellEnd"/>
      <w:r w:rsidRPr="00A05F99">
        <w:rPr>
          <w:rFonts w:ascii="Verdana" w:eastAsia="Times New Roman" w:hAnsi="Verdana" w:cs="Times New Roman"/>
          <w:bCs/>
          <w:spacing w:val="2"/>
        </w:rPr>
        <w:t xml:space="preserve"> Pharmacy and Therapeutics Committee (P&amp;T) is a group of physicians and pharmacists that meet throughout </w:t>
      </w:r>
      <w:r w:rsidR="00AD66FA" w:rsidRPr="00A05F99">
        <w:rPr>
          <w:rFonts w:ascii="Verdana" w:eastAsia="Times New Roman" w:hAnsi="Verdana" w:cs="Times New Roman"/>
          <w:bCs/>
          <w:spacing w:val="2"/>
        </w:rPr>
        <w:t>the year to make changes to UCare formularies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 (approved drug list). </w:t>
      </w:r>
      <w:r w:rsidRPr="00A05F99">
        <w:rPr>
          <w:rFonts w:ascii="Verdana" w:eastAsia="Times New Roman" w:hAnsi="Verdana" w:cs="Times New Roman"/>
          <w:bCs/>
          <w:spacing w:val="2"/>
        </w:rPr>
        <w:t>These changes are reviewed based on clinical evidence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, safety, and 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therapeutic guidelines.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All changes that 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are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recommended by P&amp;T </w:t>
      </w:r>
      <w:r w:rsidR="00CB7322" w:rsidRPr="00A05F99">
        <w:rPr>
          <w:rFonts w:ascii="Verdana" w:eastAsia="Times New Roman" w:hAnsi="Verdana" w:cs="Times New Roman"/>
          <w:bCs/>
          <w:spacing w:val="2"/>
        </w:rPr>
        <w:t xml:space="preserve">for the Medicare formularies </w:t>
      </w:r>
      <w:r w:rsidRPr="00A05F99">
        <w:rPr>
          <w:rFonts w:ascii="Verdana" w:eastAsia="Times New Roman" w:hAnsi="Verdana" w:cs="Times New Roman"/>
          <w:bCs/>
          <w:spacing w:val="2"/>
        </w:rPr>
        <w:t>are tentative un</w:t>
      </w:r>
      <w:r w:rsidR="00CB7322" w:rsidRPr="00A05F99">
        <w:rPr>
          <w:rFonts w:ascii="Verdana" w:eastAsia="Times New Roman" w:hAnsi="Verdana" w:cs="Times New Roman"/>
          <w:bCs/>
          <w:spacing w:val="2"/>
        </w:rPr>
        <w:t>til UCare receives final CMS approval.</w:t>
      </w:r>
    </w:p>
    <w:p w14:paraId="65087A81" w14:textId="77777777" w:rsidR="004A3F96" w:rsidRPr="00A05F99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</w:rPr>
      </w:pPr>
    </w:p>
    <w:p w14:paraId="1150A02D" w14:textId="77777777" w:rsidR="00B81F89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u w:val="single"/>
        </w:rPr>
      </w:pPr>
      <w:r w:rsidRPr="00A05F99">
        <w:rPr>
          <w:rFonts w:ascii="Verdana" w:eastAsia="Times New Roman" w:hAnsi="Verdana" w:cs="Times New Roman"/>
          <w:bCs/>
          <w:spacing w:val="2"/>
          <w:u w:val="single"/>
        </w:rPr>
        <w:t>Key:</w:t>
      </w:r>
    </w:p>
    <w:p w14:paraId="5D1D94BF" w14:textId="112F53CD" w:rsidR="00B81F89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Medicare: </w:t>
      </w:r>
      <w:r w:rsidR="001B70F1" w:rsidRPr="00A05F99">
        <w:rPr>
          <w:rFonts w:ascii="Verdana" w:eastAsia="Times New Roman" w:hAnsi="Verdana" w:cs="Times New Roman"/>
          <w:bCs/>
          <w:spacing w:val="2"/>
        </w:rPr>
        <w:t>UC</w:t>
      </w:r>
      <w:r w:rsidR="00B81F89" w:rsidRPr="00A05F99">
        <w:rPr>
          <w:rFonts w:ascii="Verdana" w:eastAsia="Times New Roman" w:hAnsi="Verdana" w:cs="Times New Roman"/>
          <w:bCs/>
          <w:spacing w:val="2"/>
        </w:rPr>
        <w:t>ar</w:t>
      </w:r>
      <w:r w:rsidRPr="00A05F99">
        <w:rPr>
          <w:rFonts w:ascii="Verdana" w:eastAsia="Times New Roman" w:hAnsi="Verdana" w:cs="Times New Roman"/>
          <w:bCs/>
          <w:spacing w:val="2"/>
        </w:rPr>
        <w:t>e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Medicare</w:t>
      </w:r>
      <w:r w:rsidRPr="00A05F99">
        <w:rPr>
          <w:rFonts w:ascii="Verdana" w:eastAsia="Times New Roman" w:hAnsi="Verdana" w:cs="Times New Roman"/>
          <w:bCs/>
          <w:spacing w:val="2"/>
        </w:rPr>
        <w:t>,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UCare Medicare with Fairview and North Memorial,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UCare Group Medicare, </w:t>
      </w:r>
      <w:proofErr w:type="spellStart"/>
      <w:r w:rsidR="00523363" w:rsidRPr="00A05F99">
        <w:rPr>
          <w:rFonts w:ascii="Verdana" w:eastAsia="Times New Roman" w:hAnsi="Verdana" w:cs="Times New Roman"/>
          <w:bCs/>
          <w:spacing w:val="2"/>
        </w:rPr>
        <w:t>EssentiaCare</w:t>
      </w:r>
      <w:proofErr w:type="spellEnd"/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, </w:t>
      </w:r>
      <w:r w:rsidRPr="00A05F99">
        <w:rPr>
          <w:rFonts w:ascii="Verdana" w:eastAsia="Times New Roman" w:hAnsi="Verdana" w:cs="Times New Roman"/>
          <w:bCs/>
          <w:spacing w:val="2"/>
        </w:rPr>
        <w:t>Minnesota Sen</w:t>
      </w:r>
      <w:r w:rsidR="00523363" w:rsidRPr="00A05F99">
        <w:rPr>
          <w:rFonts w:ascii="Verdana" w:eastAsia="Times New Roman" w:hAnsi="Verdana" w:cs="Times New Roman"/>
          <w:bCs/>
          <w:spacing w:val="2"/>
        </w:rPr>
        <w:t>ior Health Options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(MSHO)</w:t>
      </w:r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&amp; </w:t>
      </w:r>
      <w:proofErr w:type="gramStart"/>
      <w:r w:rsidR="005C2E2A" w:rsidRPr="00A05F99">
        <w:rPr>
          <w:rFonts w:ascii="Verdana" w:eastAsia="Times New Roman" w:hAnsi="Verdana" w:cs="Times New Roman"/>
          <w:bCs/>
          <w:spacing w:val="2"/>
        </w:rPr>
        <w:t>Connect</w:t>
      </w:r>
      <w:proofErr w:type="gramEnd"/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 + Medicare </w:t>
      </w:r>
    </w:p>
    <w:p w14:paraId="7EDBF446" w14:textId="79F0D6AC" w:rsidR="0005632B" w:rsidRPr="00A05F99" w:rsidRDefault="0005632B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Medicaid</w:t>
      </w:r>
      <w:r w:rsidR="00400E1D" w:rsidRPr="00A05F99">
        <w:rPr>
          <w:rFonts w:ascii="Verdana" w:eastAsia="Times New Roman" w:hAnsi="Verdana" w:cs="Times New Roman"/>
          <w:bCs/>
          <w:spacing w:val="2"/>
        </w:rPr>
        <w:t xml:space="preserve">: PMAP, </w:t>
      </w:r>
      <w:proofErr w:type="spellStart"/>
      <w:r w:rsidR="00400E1D" w:rsidRPr="00A05F99">
        <w:rPr>
          <w:rFonts w:ascii="Verdana" w:eastAsia="Times New Roman" w:hAnsi="Verdana" w:cs="Times New Roman"/>
          <w:bCs/>
          <w:spacing w:val="2"/>
        </w:rPr>
        <w:t>MnCare</w:t>
      </w:r>
      <w:proofErr w:type="spellEnd"/>
      <w:r w:rsidR="00400E1D" w:rsidRPr="00A05F99">
        <w:rPr>
          <w:rFonts w:ascii="Verdana" w:eastAsia="Times New Roman" w:hAnsi="Verdana" w:cs="Times New Roman"/>
          <w:bCs/>
          <w:spacing w:val="2"/>
        </w:rPr>
        <w:t xml:space="preserve">, MSC+ &amp; </w:t>
      </w:r>
      <w:proofErr w:type="gramStart"/>
      <w:r w:rsidR="00400E1D" w:rsidRPr="00A05F99">
        <w:rPr>
          <w:rFonts w:ascii="Verdana" w:eastAsia="Times New Roman" w:hAnsi="Verdana" w:cs="Times New Roman"/>
          <w:bCs/>
          <w:spacing w:val="2"/>
        </w:rPr>
        <w:t>Connect</w:t>
      </w:r>
      <w:proofErr w:type="gramEnd"/>
    </w:p>
    <w:p w14:paraId="6F77E887" w14:textId="5944DAAC" w:rsidR="00400E1D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Exchange: UCare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>Individual and Family Plans</w:t>
      </w:r>
    </w:p>
    <w:p w14:paraId="4185E2F5" w14:textId="77777777" w:rsidR="00303B44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p w14:paraId="7985106C" w14:textId="0A85FDAA" w:rsidR="004A3F96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Formulary</w:t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00D3FA92" w14:textId="7173AA21" w:rsidR="00173929" w:rsidRPr="00A05F99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NF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Non-formulary</w:t>
      </w:r>
    </w:p>
    <w:p w14:paraId="5F4065EA" w14:textId="7C8229A1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PA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Prior Authorization </w:t>
      </w:r>
    </w:p>
    <w:p w14:paraId="2971532A" w14:textId="05202C80" w:rsidR="00844806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QL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Quantity Limit</w:t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495D3ADA" w14:textId="6D1B218A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ST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4B4A2D" w:rsidRPr="00BA7E1A" w14:paraId="39A37783" w14:textId="77777777" w:rsidTr="004A4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p w14:paraId="1C3508E8" w14:textId="27723C7B" w:rsidR="004B4A2D" w:rsidRPr="00852F8C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852F8C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4A4967" w:rsidRPr="00852F8C">
              <w:rPr>
                <w:rFonts w:ascii="Verdana" w:hAnsi="Verdana"/>
                <w:sz w:val="20"/>
                <w:szCs w:val="20"/>
              </w:rPr>
              <w:t>Drug</w:t>
            </w:r>
            <w:r w:rsidRPr="00852F8C">
              <w:rPr>
                <w:rFonts w:ascii="Verdana" w:hAnsi="Verdana"/>
                <w:sz w:val="20"/>
                <w:szCs w:val="20"/>
              </w:rPr>
              <w:t xml:space="preserve"> Review 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970"/>
        <w:gridCol w:w="3330"/>
        <w:gridCol w:w="3150"/>
        <w:gridCol w:w="1440"/>
      </w:tblGrid>
      <w:tr w:rsidR="00E77836" w14:paraId="28A73A21" w14:textId="77777777" w:rsidTr="00B727CC">
        <w:tc>
          <w:tcPr>
            <w:tcW w:w="2970" w:type="dxa"/>
          </w:tcPr>
          <w:p w14:paraId="4F2C9E27" w14:textId="77777777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 xml:space="preserve">Drug </w:t>
            </w:r>
          </w:p>
        </w:tc>
        <w:tc>
          <w:tcPr>
            <w:tcW w:w="3330" w:type="dxa"/>
          </w:tcPr>
          <w:p w14:paraId="7DBC1588" w14:textId="492A40AC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Indication</w:t>
            </w:r>
          </w:p>
        </w:tc>
        <w:tc>
          <w:tcPr>
            <w:tcW w:w="3150" w:type="dxa"/>
          </w:tcPr>
          <w:p w14:paraId="6E42E2D8" w14:textId="302EC425" w:rsidR="004B4A2D" w:rsidRPr="00A05F99" w:rsidRDefault="004B4A2D" w:rsidP="00FB392C">
            <w:pPr>
              <w:spacing w:after="240"/>
              <w:rPr>
                <w:rFonts w:ascii="Verdana" w:hAnsi="Verdana"/>
                <w:b/>
                <w:bCs/>
              </w:rPr>
            </w:pPr>
            <w:r w:rsidRPr="00A05F99">
              <w:rPr>
                <w:rFonts w:ascii="Verdana" w:hAnsi="Verdana"/>
                <w:b/>
                <w:bCs/>
              </w:rPr>
              <w:t>Formulary Coverage</w:t>
            </w:r>
          </w:p>
        </w:tc>
        <w:tc>
          <w:tcPr>
            <w:tcW w:w="1440" w:type="dxa"/>
          </w:tcPr>
          <w:p w14:paraId="3392FAAB" w14:textId="66DD6409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Effective Date</w:t>
            </w:r>
          </w:p>
        </w:tc>
      </w:tr>
      <w:tr w:rsidR="0073594F" w:rsidRPr="00852F8C" w14:paraId="2427BC04" w14:textId="77777777" w:rsidTr="00B727CC">
        <w:tc>
          <w:tcPr>
            <w:tcW w:w="2970" w:type="dxa"/>
          </w:tcPr>
          <w:p w14:paraId="326DCCD2" w14:textId="76C49A4E" w:rsidR="0073594F" w:rsidRPr="00E8257D" w:rsidRDefault="00E8257D" w:rsidP="0073594F">
            <w:pPr>
              <w:rPr>
                <w:rFonts w:ascii="Verdana" w:hAnsi="Verdana" w:cs="Arial"/>
                <w:bCs/>
              </w:rPr>
            </w:pPr>
            <w:proofErr w:type="spellStart"/>
            <w:r w:rsidRPr="000D701C">
              <w:rPr>
                <w:rFonts w:ascii="Verdana" w:hAnsi="Verdana" w:cs="Arial"/>
                <w:b/>
              </w:rPr>
              <w:t>Rezdiffra</w:t>
            </w:r>
            <w:proofErr w:type="spellEnd"/>
            <w:r w:rsidRPr="00E8257D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E8257D">
              <w:rPr>
                <w:rFonts w:ascii="Verdana" w:hAnsi="Verdana" w:cs="Arial"/>
                <w:bCs/>
              </w:rPr>
              <w:t>resmetirom</w:t>
            </w:r>
            <w:proofErr w:type="spellEnd"/>
            <w:r w:rsidRPr="00E8257D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9575D0C" w14:textId="71E8BBF8" w:rsidR="0073594F" w:rsidRPr="00837406" w:rsidRDefault="00E8257D" w:rsidP="0073594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E8257D">
              <w:rPr>
                <w:rFonts w:ascii="Verdana" w:hAnsi="Verdana" w:cstheme="minorHAnsi"/>
              </w:rPr>
              <w:t>for the treatment of adults with metabolic dysfunction-associated steatohepatitis (MASH) with moderate to advanced liver fibrosis, indicated in conjunction with diet and exercise.</w:t>
            </w:r>
          </w:p>
        </w:tc>
        <w:tc>
          <w:tcPr>
            <w:tcW w:w="3150" w:type="dxa"/>
          </w:tcPr>
          <w:p w14:paraId="01BA5FB5" w14:textId="3F9862C4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376ADAB1" w14:textId="5EC6E3AF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Medicaid: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  <w:r w:rsidR="00E8257D" w:rsidRPr="00B727CC">
              <w:rPr>
                <w:rFonts w:ascii="Verdana" w:hAnsi="Verdana"/>
              </w:rPr>
              <w:t xml:space="preserve"> </w:t>
            </w:r>
            <w:r w:rsidRPr="00B727CC">
              <w:rPr>
                <w:rFonts w:ascii="Verdana" w:hAnsi="Verdana"/>
              </w:rPr>
              <w:t xml:space="preserve">Exchange: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22F75EC4" w14:textId="77777777" w:rsidR="0073594F" w:rsidRPr="00B727CC" w:rsidRDefault="0073594F" w:rsidP="0073594F">
            <w:pPr>
              <w:rPr>
                <w:rFonts w:ascii="Verdana" w:hAnsi="Verdana"/>
              </w:rPr>
            </w:pPr>
          </w:p>
          <w:p w14:paraId="44B475AE" w14:textId="20D84793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0B112B8" w14:textId="78B85DD8" w:rsidR="0073594F" w:rsidRPr="00B727CC" w:rsidRDefault="0073594F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12F2BC56" w14:textId="77777777" w:rsidTr="00B727CC">
        <w:tc>
          <w:tcPr>
            <w:tcW w:w="2970" w:type="dxa"/>
          </w:tcPr>
          <w:p w14:paraId="2364AE83" w14:textId="6E349540" w:rsidR="0073594F" w:rsidRPr="00E8257D" w:rsidRDefault="00E8257D" w:rsidP="0073594F">
            <w:pPr>
              <w:rPr>
                <w:rFonts w:ascii="Verdana" w:hAnsi="Verdana" w:cs="Arial"/>
                <w:bCs/>
              </w:rPr>
            </w:pPr>
            <w:proofErr w:type="spellStart"/>
            <w:r w:rsidRPr="000D701C">
              <w:rPr>
                <w:rFonts w:ascii="Verdana" w:hAnsi="Verdana" w:cs="Arial"/>
                <w:b/>
              </w:rPr>
              <w:t>Winrevair</w:t>
            </w:r>
            <w:proofErr w:type="spellEnd"/>
            <w:r w:rsidRPr="00E8257D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E8257D">
              <w:rPr>
                <w:rFonts w:ascii="Verdana" w:hAnsi="Verdana" w:cs="Arial"/>
                <w:bCs/>
              </w:rPr>
              <w:t>sotatercept-csrk</w:t>
            </w:r>
            <w:proofErr w:type="spellEnd"/>
            <w:r w:rsidRPr="00E8257D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68879A63" w14:textId="2709A81D" w:rsidR="0073594F" w:rsidRPr="005A5771" w:rsidRDefault="00E8257D" w:rsidP="0073594F">
            <w:pPr>
              <w:rPr>
                <w:rFonts w:ascii="Verdana" w:hAnsi="Verdana"/>
                <w:b/>
                <w:u w:val="single"/>
              </w:rPr>
            </w:pPr>
            <w:r w:rsidRPr="00E8257D">
              <w:rPr>
                <w:rFonts w:ascii="Verdana" w:hAnsi="Verdana" w:cstheme="minorHAnsi"/>
              </w:rPr>
              <w:t>for the treatment of adults with pulmonary arterial hypertension (PAH, WHO Group 1) to increase exercise capacity, improve WHO functional class, and reduce the risk of clinical worsening events.</w:t>
            </w:r>
          </w:p>
        </w:tc>
        <w:tc>
          <w:tcPr>
            <w:tcW w:w="3150" w:type="dxa"/>
          </w:tcPr>
          <w:p w14:paraId="1C752640" w14:textId="206B32E1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55491D12" w14:textId="45892969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Medicaid: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70ED21BD" w14:textId="2580A908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Exchange: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38B94024" w14:textId="500FF5A0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7DAE0E7" w14:textId="7D393568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244883DA" w14:textId="77777777" w:rsidTr="00B727CC">
        <w:tc>
          <w:tcPr>
            <w:tcW w:w="2970" w:type="dxa"/>
          </w:tcPr>
          <w:p w14:paraId="052FEE7C" w14:textId="539672B3" w:rsidR="00330E7F" w:rsidRPr="00B727CC" w:rsidRDefault="00E8257D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0D701C">
              <w:rPr>
                <w:rFonts w:ascii="Verdana" w:hAnsi="Verdana" w:cs="Arial"/>
                <w:b/>
              </w:rPr>
              <w:t>Ojemda</w:t>
            </w:r>
            <w:proofErr w:type="spellEnd"/>
            <w:r w:rsidRPr="00E8257D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E8257D">
              <w:rPr>
                <w:rFonts w:ascii="Verdana" w:hAnsi="Verdana" w:cs="Arial"/>
                <w:bCs/>
              </w:rPr>
              <w:t>tovorafenib</w:t>
            </w:r>
            <w:proofErr w:type="spellEnd"/>
            <w:r w:rsidRPr="00E8257D">
              <w:rPr>
                <w:rFonts w:ascii="Verdana" w:hAnsi="Verdana" w:cs="Arial"/>
                <w:bCs/>
              </w:rPr>
              <w:t xml:space="preserve">) </w:t>
            </w:r>
            <w:r w:rsidRPr="00E8257D">
              <w:rPr>
                <w:rFonts w:ascii="Verdana" w:hAnsi="Verdana" w:cs="Arial"/>
                <w:bCs/>
                <w:color w:val="FF0000"/>
              </w:rPr>
              <w:t>Protected Class Drug</w:t>
            </w:r>
          </w:p>
        </w:tc>
        <w:tc>
          <w:tcPr>
            <w:tcW w:w="3330" w:type="dxa"/>
          </w:tcPr>
          <w:p w14:paraId="1ADCCA37" w14:textId="2F5026E2" w:rsidR="0073594F" w:rsidRPr="00E8257D" w:rsidRDefault="00E8257D" w:rsidP="0073594F">
            <w:pPr>
              <w:rPr>
                <w:rFonts w:ascii="Verdana" w:hAnsi="Verdana" w:cstheme="minorHAnsi"/>
              </w:rPr>
            </w:pPr>
            <w:r w:rsidRPr="00E8257D">
              <w:rPr>
                <w:rFonts w:ascii="Verdana" w:hAnsi="Verdana" w:cstheme="minorHAnsi"/>
              </w:rPr>
              <w:t xml:space="preserve">for the treatment of patients &gt; 6 months of age with relapsed or refractory (R/R) pediatric low-grade glioma (LGG; </w:t>
            </w:r>
            <w:proofErr w:type="spellStart"/>
            <w:r w:rsidRPr="00E8257D">
              <w:rPr>
                <w:rFonts w:ascii="Verdana" w:hAnsi="Verdana" w:cstheme="minorHAnsi"/>
              </w:rPr>
              <w:t>pLGG</w:t>
            </w:r>
            <w:proofErr w:type="spellEnd"/>
            <w:r w:rsidRPr="00E8257D">
              <w:rPr>
                <w:rFonts w:ascii="Verdana" w:hAnsi="Verdana" w:cstheme="minorHAnsi"/>
              </w:rPr>
              <w:t xml:space="preserve">) harboring a BRAF fusion or </w:t>
            </w:r>
            <w:r w:rsidRPr="00E8257D">
              <w:rPr>
                <w:rFonts w:ascii="Verdana" w:hAnsi="Verdana" w:cstheme="minorHAnsi"/>
              </w:rPr>
              <w:lastRenderedPageBreak/>
              <w:t>rearrangement or BRAF V600 mutation</w:t>
            </w:r>
          </w:p>
        </w:tc>
        <w:tc>
          <w:tcPr>
            <w:tcW w:w="3150" w:type="dxa"/>
          </w:tcPr>
          <w:p w14:paraId="3AFEF57E" w14:textId="288319A3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lastRenderedPageBreak/>
              <w:t>Medicare: Formulary</w:t>
            </w:r>
            <w:r w:rsidR="005A5771" w:rsidRPr="00B727CC">
              <w:rPr>
                <w:rFonts w:ascii="Verdana" w:hAnsi="Verdana"/>
              </w:rPr>
              <w:t xml:space="preserve"> w/PA</w:t>
            </w:r>
          </w:p>
          <w:p w14:paraId="621CBB1D" w14:textId="5065DF16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Medicaid: </w:t>
            </w:r>
            <w:r w:rsidR="005A5771" w:rsidRPr="00B727CC">
              <w:rPr>
                <w:rFonts w:ascii="Verdana" w:hAnsi="Verdana"/>
              </w:rPr>
              <w:t>Formulary w/PA</w:t>
            </w:r>
          </w:p>
          <w:p w14:paraId="0343274C" w14:textId="0EB6A791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Exchange: </w:t>
            </w:r>
            <w:r w:rsidR="005A5771" w:rsidRPr="00B727CC">
              <w:rPr>
                <w:rFonts w:ascii="Verdana" w:hAnsi="Verdana"/>
              </w:rPr>
              <w:t>Formulary w/PA</w:t>
            </w:r>
          </w:p>
          <w:p w14:paraId="2C36D2FB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</w:p>
          <w:p w14:paraId="34C32304" w14:textId="205CA4AD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CB19907" w14:textId="16C2E00D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4EE1C15E" w14:textId="77777777" w:rsidTr="00B727CC">
        <w:tc>
          <w:tcPr>
            <w:tcW w:w="2970" w:type="dxa"/>
          </w:tcPr>
          <w:p w14:paraId="78D228E7" w14:textId="572BE191" w:rsidR="00330E7F" w:rsidRPr="00B727CC" w:rsidRDefault="00E8257D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0D701C">
              <w:rPr>
                <w:rFonts w:ascii="Verdana" w:hAnsi="Verdana" w:cs="Arial"/>
                <w:b/>
              </w:rPr>
              <w:t>Duvyzat</w:t>
            </w:r>
            <w:proofErr w:type="spellEnd"/>
            <w:r w:rsidRPr="00E8257D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E8257D">
              <w:rPr>
                <w:rFonts w:ascii="Verdana" w:hAnsi="Verdana" w:cs="Arial"/>
                <w:bCs/>
              </w:rPr>
              <w:t>givinostat</w:t>
            </w:r>
            <w:proofErr w:type="spellEnd"/>
            <w:r w:rsidRPr="00E8257D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1782812" w14:textId="610FA356" w:rsidR="0073594F" w:rsidRPr="00F6467A" w:rsidRDefault="00F6467A" w:rsidP="0073594F">
            <w:pPr>
              <w:rPr>
                <w:rFonts w:ascii="Verdana" w:hAnsi="Verdana"/>
                <w:bCs/>
              </w:rPr>
            </w:pPr>
            <w:r w:rsidRPr="00F6467A">
              <w:rPr>
                <w:rFonts w:ascii="Verdana" w:hAnsi="Verdana"/>
                <w:bCs/>
              </w:rPr>
              <w:t>Treatment of Duchenne muscular dystrophy (DMD) in patients 6 years of age and older</w:t>
            </w:r>
          </w:p>
        </w:tc>
        <w:tc>
          <w:tcPr>
            <w:tcW w:w="3150" w:type="dxa"/>
          </w:tcPr>
          <w:p w14:paraId="56E8AC01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371B92C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37D9E1A3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69A601A5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099FF3E" w14:textId="4D1A2392" w:rsidR="0073594F" w:rsidRPr="00B727CC" w:rsidRDefault="005A5771" w:rsidP="0073594F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3E5867" w:rsidRPr="00852F8C" w14:paraId="20D0C506" w14:textId="77777777" w:rsidTr="00B727CC">
        <w:tc>
          <w:tcPr>
            <w:tcW w:w="2970" w:type="dxa"/>
          </w:tcPr>
          <w:p w14:paraId="07089E0F" w14:textId="3B091B2F" w:rsidR="005A5771" w:rsidRPr="00B727CC" w:rsidRDefault="00F6467A" w:rsidP="00E8257D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0D701C">
              <w:rPr>
                <w:rFonts w:ascii="Verdana" w:hAnsi="Verdana" w:cs="Arial"/>
                <w:b/>
              </w:rPr>
              <w:t>Lazcluze</w:t>
            </w:r>
            <w:proofErr w:type="spellEnd"/>
            <w:r w:rsidRPr="00F6467A">
              <w:rPr>
                <w:rFonts w:ascii="Verdana" w:hAnsi="Verdana" w:cs="Arial"/>
                <w:bCs/>
              </w:rPr>
              <w:t xml:space="preserve"> (Lazertinib) </w:t>
            </w:r>
            <w:r w:rsidRPr="00F6467A">
              <w:rPr>
                <w:rFonts w:ascii="Verdana" w:hAnsi="Verdana" w:cs="Arial"/>
                <w:bCs/>
                <w:color w:val="FF0000"/>
              </w:rPr>
              <w:t>Protected Class Drug</w:t>
            </w:r>
          </w:p>
        </w:tc>
        <w:tc>
          <w:tcPr>
            <w:tcW w:w="3330" w:type="dxa"/>
          </w:tcPr>
          <w:p w14:paraId="70A454CD" w14:textId="79A26526" w:rsidR="003E5867" w:rsidRPr="00B01345" w:rsidRDefault="00F6467A" w:rsidP="003E5867">
            <w:pPr>
              <w:rPr>
                <w:rFonts w:ascii="Verdana" w:hAnsi="Verdana" w:cstheme="minorHAnsi"/>
                <w:sz w:val="20"/>
                <w:szCs w:val="20"/>
              </w:rPr>
            </w:pPr>
            <w:r w:rsidRPr="00F6467A">
              <w:rPr>
                <w:rFonts w:ascii="Verdana" w:hAnsi="Verdana"/>
                <w:bCs/>
              </w:rPr>
              <w:t xml:space="preserve">In combination with </w:t>
            </w:r>
            <w:proofErr w:type="spellStart"/>
            <w:r w:rsidRPr="00F6467A">
              <w:rPr>
                <w:rFonts w:ascii="Verdana" w:hAnsi="Verdana"/>
                <w:bCs/>
              </w:rPr>
              <w:t>amivantamab</w:t>
            </w:r>
            <w:proofErr w:type="spellEnd"/>
            <w:r w:rsidRPr="00F6467A">
              <w:rPr>
                <w:rFonts w:ascii="Verdana" w:hAnsi="Verdana"/>
                <w:bCs/>
              </w:rPr>
              <w:t xml:space="preserve"> for the first-line treatment of adult patients with locally advanced or metastatic non-small cell lung cancer (NSCLC) with epidermal growth factor receptor (EGFR) exon 19 deletions or exon 21 L858R substitution mutations, as detected by an FDA-approved test.</w:t>
            </w:r>
          </w:p>
        </w:tc>
        <w:tc>
          <w:tcPr>
            <w:tcW w:w="3150" w:type="dxa"/>
          </w:tcPr>
          <w:p w14:paraId="04EE505B" w14:textId="274B8DDC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Formulary</w:t>
            </w:r>
          </w:p>
          <w:p w14:paraId="458D608A" w14:textId="188E0704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Formulary</w:t>
            </w:r>
          </w:p>
          <w:p w14:paraId="5BBD71C9" w14:textId="1BAFF2FB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Exchange: Formulary </w:t>
            </w:r>
          </w:p>
          <w:p w14:paraId="6B5634E1" w14:textId="77777777" w:rsidR="003E5867" w:rsidRPr="00B727CC" w:rsidRDefault="003E5867" w:rsidP="003E586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537980B" w14:textId="7ED37180" w:rsidR="003E5867" w:rsidRPr="00B727CC" w:rsidRDefault="005A5771" w:rsidP="003E5867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2F8EE3BE" w14:textId="77777777" w:rsidTr="00B727CC">
        <w:tc>
          <w:tcPr>
            <w:tcW w:w="2970" w:type="dxa"/>
          </w:tcPr>
          <w:p w14:paraId="54A24F44" w14:textId="5AB077A4" w:rsidR="005A5771" w:rsidRPr="00B727CC" w:rsidRDefault="00F6467A" w:rsidP="003E5867">
            <w:pPr>
              <w:rPr>
                <w:rFonts w:ascii="Verdana" w:hAnsi="Verdana" w:cs="Arial"/>
                <w:bCs/>
              </w:rPr>
            </w:pPr>
            <w:proofErr w:type="spellStart"/>
            <w:r w:rsidRPr="000D701C">
              <w:rPr>
                <w:rFonts w:ascii="Verdana" w:hAnsi="Verdana" w:cs="Arial"/>
                <w:b/>
              </w:rPr>
              <w:t>Voydeya</w:t>
            </w:r>
            <w:proofErr w:type="spellEnd"/>
            <w:r w:rsidRPr="00F6467A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F6467A">
              <w:rPr>
                <w:rFonts w:ascii="Verdana" w:hAnsi="Verdana" w:cs="Arial"/>
                <w:bCs/>
              </w:rPr>
              <w:t>danicopan</w:t>
            </w:r>
            <w:proofErr w:type="spellEnd"/>
            <w:r w:rsidRPr="00F6467A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71C7D3DE" w14:textId="63B400BF" w:rsidR="005A5771" w:rsidRDefault="00F6467A" w:rsidP="003E5867">
            <w:pPr>
              <w:rPr>
                <w:rFonts w:ascii="Verdana" w:hAnsi="Verdana"/>
              </w:rPr>
            </w:pPr>
            <w:r w:rsidRPr="00F6467A">
              <w:rPr>
                <w:rFonts w:ascii="Verdana" w:hAnsi="Verdana"/>
              </w:rPr>
              <w:t xml:space="preserve">Add-on therapy to </w:t>
            </w:r>
            <w:proofErr w:type="spellStart"/>
            <w:r w:rsidRPr="00F6467A">
              <w:rPr>
                <w:rFonts w:ascii="Verdana" w:hAnsi="Verdana"/>
              </w:rPr>
              <w:t>ravulizumab</w:t>
            </w:r>
            <w:proofErr w:type="spellEnd"/>
            <w:r w:rsidRPr="00F6467A">
              <w:rPr>
                <w:rFonts w:ascii="Verdana" w:hAnsi="Verdana"/>
              </w:rPr>
              <w:t xml:space="preserve"> or eculizumab for the treatment of extravascular hemolysis (EVH) in adults with paroxysmal nocturnal hemoglobinuria (PNH)</w:t>
            </w:r>
          </w:p>
        </w:tc>
        <w:tc>
          <w:tcPr>
            <w:tcW w:w="3150" w:type="dxa"/>
          </w:tcPr>
          <w:p w14:paraId="2D0C7C9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5313AA54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347A48AF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1A17E8A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244416E" w14:textId="13238005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4D100F37" w14:textId="77777777" w:rsidTr="00B727CC">
        <w:tc>
          <w:tcPr>
            <w:tcW w:w="2970" w:type="dxa"/>
          </w:tcPr>
          <w:p w14:paraId="1B0CC099" w14:textId="5BC3E2BD" w:rsidR="005A5771" w:rsidRPr="00B727CC" w:rsidRDefault="00F6467A" w:rsidP="00E8257D">
            <w:pPr>
              <w:pStyle w:val="Standard1"/>
              <w:spacing w:before="0" w:after="0"/>
              <w:rPr>
                <w:rFonts w:ascii="Verdana" w:hAnsi="Verdana" w:cs="Arial"/>
                <w:bCs/>
              </w:rPr>
            </w:pPr>
            <w:proofErr w:type="spellStart"/>
            <w:r w:rsidRPr="000D701C">
              <w:rPr>
                <w:rFonts w:ascii="Verdana" w:eastAsiaTheme="minorHAnsi" w:hAnsi="Verdana" w:cs="Arial"/>
                <w:b/>
                <w:sz w:val="22"/>
                <w:szCs w:val="22"/>
              </w:rPr>
              <w:t>Xolremdi</w:t>
            </w:r>
            <w:proofErr w:type="spellEnd"/>
            <w:r w:rsidRPr="00F6467A">
              <w:rPr>
                <w:rFonts w:ascii="Verdana" w:eastAsiaTheme="minorHAnsi" w:hAnsi="Verdana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6467A">
              <w:rPr>
                <w:rFonts w:ascii="Verdana" w:eastAsiaTheme="minorHAnsi" w:hAnsi="Verdana" w:cs="Arial"/>
                <w:bCs/>
                <w:sz w:val="22"/>
                <w:szCs w:val="22"/>
              </w:rPr>
              <w:t>mavorixafor</w:t>
            </w:r>
            <w:proofErr w:type="spellEnd"/>
            <w:r w:rsidRPr="00F6467A">
              <w:rPr>
                <w:rFonts w:ascii="Verdana" w:eastAsiaTheme="minorHAnsi" w:hAnsi="Verdana" w:cs="Arial"/>
                <w:b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53456F38" w14:textId="7D28B5F9" w:rsidR="005A5771" w:rsidRDefault="00F6467A" w:rsidP="003E5867">
            <w:pPr>
              <w:rPr>
                <w:rFonts w:ascii="Verdana" w:hAnsi="Verdana"/>
              </w:rPr>
            </w:pPr>
            <w:r w:rsidRPr="00F6467A">
              <w:rPr>
                <w:rFonts w:ascii="Verdana" w:hAnsi="Verdana"/>
              </w:rPr>
              <w:t xml:space="preserve">To increase the number of circulating mature neutrophils and lymphocytes in patients ≥ 12 years of age with warts, hypogammaglobulinemia, infections, and </w:t>
            </w:r>
            <w:proofErr w:type="spellStart"/>
            <w:r w:rsidRPr="00F6467A">
              <w:rPr>
                <w:rFonts w:ascii="Verdana" w:hAnsi="Verdana"/>
              </w:rPr>
              <w:t>myelokathexis</w:t>
            </w:r>
            <w:proofErr w:type="spellEnd"/>
            <w:r w:rsidRPr="00F6467A">
              <w:rPr>
                <w:rFonts w:ascii="Verdana" w:hAnsi="Verdana"/>
              </w:rPr>
              <w:t xml:space="preserve"> (WHIM) syndrome</w:t>
            </w:r>
          </w:p>
        </w:tc>
        <w:tc>
          <w:tcPr>
            <w:tcW w:w="3150" w:type="dxa"/>
          </w:tcPr>
          <w:p w14:paraId="0D7F97A8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72E9D14F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0F0FB645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29C895AE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F2301FD" w14:textId="53F2EC19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</w:tbl>
    <w:p w14:paraId="30725D2E" w14:textId="2E6D7891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38B717C3" w14:textId="77777777" w:rsidR="00C36463" w:rsidRPr="00B727CC" w:rsidRDefault="00C36463">
      <w:pPr>
        <w:spacing w:line="200" w:lineRule="exact"/>
        <w:rPr>
          <w:rFonts w:ascii="Verdana" w:hAnsi="Verdana"/>
        </w:rPr>
      </w:pPr>
    </w:p>
    <w:p w14:paraId="571B2695" w14:textId="0A941F69" w:rsidR="001B05E8" w:rsidRPr="00B727CC" w:rsidRDefault="000A6E31" w:rsidP="00015A48">
      <w:pPr>
        <w:spacing w:line="200" w:lineRule="exact"/>
        <w:jc w:val="both"/>
        <w:rPr>
          <w:rFonts w:ascii="Verdana" w:eastAsia="Times New Roman" w:hAnsi="Verdana" w:cs="Arial"/>
          <w:b/>
        </w:rPr>
      </w:pPr>
      <w:r w:rsidRPr="00B727CC">
        <w:rPr>
          <w:rFonts w:ascii="Verdana" w:eastAsia="Times New Roman" w:hAnsi="Verdana" w:cs="Arial"/>
          <w:b/>
        </w:rPr>
        <w:t xml:space="preserve">Formulary changes for New Generics, New Indications and Miscellaneous Previously Reviewed drugs are effective </w:t>
      </w:r>
      <w:r w:rsidR="00B727CC" w:rsidRPr="00B727CC">
        <w:rPr>
          <w:rFonts w:ascii="Verdana" w:eastAsia="Times New Roman" w:hAnsi="Verdana" w:cs="Arial"/>
          <w:b/>
        </w:rPr>
        <w:t>1</w:t>
      </w:r>
      <w:r w:rsidR="00BE479A" w:rsidRPr="00B727CC">
        <w:rPr>
          <w:rFonts w:ascii="Verdana" w:eastAsia="Times New Roman" w:hAnsi="Verdana" w:cs="Arial"/>
          <w:b/>
        </w:rPr>
        <w:t>/1</w:t>
      </w:r>
      <w:r w:rsidRPr="00B727CC">
        <w:rPr>
          <w:rFonts w:ascii="Verdana" w:eastAsia="Times New Roman" w:hAnsi="Verdana" w:cs="Arial"/>
          <w:b/>
        </w:rPr>
        <w:t>/202</w:t>
      </w:r>
      <w:r w:rsidR="00F6467A">
        <w:rPr>
          <w:rFonts w:ascii="Verdana" w:eastAsia="Times New Roman" w:hAnsi="Verdana" w:cs="Arial"/>
          <w:b/>
        </w:rPr>
        <w:t>5</w:t>
      </w:r>
      <w:r w:rsidRPr="00B727CC">
        <w:rPr>
          <w:rFonts w:ascii="Verdana" w:eastAsia="Times New Roman" w:hAnsi="Verdana" w:cs="Arial"/>
          <w:b/>
        </w:rPr>
        <w:t>.</w:t>
      </w:r>
    </w:p>
    <w:p w14:paraId="4909B206" w14:textId="77777777" w:rsidR="001B05E8" w:rsidRPr="00852F8C" w:rsidRDefault="001B05E8" w:rsidP="006B16C1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2C07B094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71E652E9" w14:textId="77777777" w:rsidR="004C5F89" w:rsidRPr="00852F8C" w:rsidRDefault="00153FC2" w:rsidP="005247AA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Hlk98851985"/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Indications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674"/>
        <w:gridCol w:w="4088"/>
        <w:gridCol w:w="4155"/>
      </w:tblGrid>
      <w:tr w:rsidR="004F2F90" w:rsidRPr="00852F8C" w14:paraId="4B7C4753" w14:textId="77777777" w:rsidTr="00166739">
        <w:trPr>
          <w:trHeight w:val="566"/>
        </w:trPr>
        <w:tc>
          <w:tcPr>
            <w:tcW w:w="2674" w:type="dxa"/>
          </w:tcPr>
          <w:p w14:paraId="48E65DDF" w14:textId="5B200CEC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088" w:type="dxa"/>
          </w:tcPr>
          <w:p w14:paraId="48AC1C2A" w14:textId="4EC1C9F5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Current formulary status</w:t>
            </w:r>
          </w:p>
        </w:tc>
        <w:tc>
          <w:tcPr>
            <w:tcW w:w="4155" w:type="dxa"/>
          </w:tcPr>
          <w:p w14:paraId="0DC14B8E" w14:textId="39AC6804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bookmarkEnd w:id="0"/>
      <w:tr w:rsidR="00075402" w:rsidRPr="00852F8C" w14:paraId="1B56CDD1" w14:textId="77777777" w:rsidTr="00166739">
        <w:tc>
          <w:tcPr>
            <w:tcW w:w="2674" w:type="dxa"/>
            <w:shd w:val="clear" w:color="auto" w:fill="auto"/>
          </w:tcPr>
          <w:p w14:paraId="79C91297" w14:textId="0957BEEA" w:rsidR="00075402" w:rsidRPr="00F6467A" w:rsidRDefault="00F6467A" w:rsidP="0007540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Fabhalta</w:t>
            </w:r>
            <w:proofErr w:type="spellEnd"/>
            <w:r w:rsidRPr="00F6467A">
              <w:rPr>
                <w:rFonts w:ascii="Verdana" w:hAnsi="Verdana"/>
              </w:rPr>
              <w:t xml:space="preserve"> (</w:t>
            </w:r>
            <w:proofErr w:type="spellStart"/>
            <w:r w:rsidRPr="00F6467A">
              <w:rPr>
                <w:rFonts w:ascii="Verdana" w:hAnsi="Verdana"/>
              </w:rPr>
              <w:t>iptacopan</w:t>
            </w:r>
            <w:proofErr w:type="spellEnd"/>
            <w:r w:rsidRPr="00F6467A">
              <w:rPr>
                <w:rFonts w:ascii="Verdana" w:hAnsi="Verdana"/>
              </w:rPr>
              <w:t xml:space="preserve">) 200 mg capsule – accelerated approval </w:t>
            </w:r>
            <w:r w:rsidRPr="00F6467A">
              <w:rPr>
                <w:rFonts w:ascii="Verdana" w:hAnsi="Verdana"/>
              </w:rPr>
              <w:lastRenderedPageBreak/>
              <w:t xml:space="preserve">for a new </w:t>
            </w:r>
            <w:proofErr w:type="spellStart"/>
            <w:r w:rsidRPr="00F6467A">
              <w:rPr>
                <w:rFonts w:ascii="Verdana" w:hAnsi="Verdana"/>
              </w:rPr>
              <w:t>indivation</w:t>
            </w:r>
            <w:proofErr w:type="spellEnd"/>
            <w:r w:rsidRPr="00F6467A">
              <w:rPr>
                <w:rFonts w:ascii="Verdana" w:hAnsi="Verdana"/>
              </w:rPr>
              <w:t xml:space="preserve"> for the reduction of proteinuria in adults with primary immunoglobulin A </w:t>
            </w:r>
            <w:proofErr w:type="spellStart"/>
            <w:r w:rsidRPr="00F6467A">
              <w:rPr>
                <w:rFonts w:ascii="Verdana" w:hAnsi="Verdana"/>
              </w:rPr>
              <w:t>nephrophathy</w:t>
            </w:r>
            <w:proofErr w:type="spellEnd"/>
            <w:r w:rsidRPr="00F6467A">
              <w:rPr>
                <w:rFonts w:ascii="Verdana" w:hAnsi="Verdana"/>
              </w:rPr>
              <w:t xml:space="preserve"> (</w:t>
            </w:r>
            <w:proofErr w:type="spellStart"/>
            <w:r w:rsidRPr="00F6467A">
              <w:rPr>
                <w:rFonts w:ascii="Verdana" w:hAnsi="Verdana"/>
              </w:rPr>
              <w:t>IgAN</w:t>
            </w:r>
            <w:proofErr w:type="spellEnd"/>
            <w:r w:rsidRPr="00F6467A">
              <w:rPr>
                <w:rFonts w:ascii="Verdana" w:hAnsi="Verdana"/>
              </w:rPr>
              <w:t>) at risk for rapid disease progression</w:t>
            </w:r>
          </w:p>
        </w:tc>
        <w:tc>
          <w:tcPr>
            <w:tcW w:w="4088" w:type="dxa"/>
            <w:shd w:val="clear" w:color="auto" w:fill="auto"/>
          </w:tcPr>
          <w:p w14:paraId="7E16FBC7" w14:textId="0F3C467F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</w:t>
            </w:r>
            <w:r w:rsidR="00F6467A"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 w:rsidR="00F6467A"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 w:rsidR="00F6467A"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 w:rsidR="00F6467A"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31DB2A16" w14:textId="1E15B213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4155" w:type="dxa"/>
            <w:shd w:val="clear" w:color="auto" w:fill="auto"/>
          </w:tcPr>
          <w:p w14:paraId="687708E5" w14:textId="6C33D19C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FEA51F4" w14:textId="3503BEF9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40C03084" w14:textId="77777777" w:rsidTr="00166739">
        <w:trPr>
          <w:trHeight w:val="503"/>
        </w:trPr>
        <w:tc>
          <w:tcPr>
            <w:tcW w:w="2674" w:type="dxa"/>
            <w:shd w:val="clear" w:color="auto" w:fill="auto"/>
          </w:tcPr>
          <w:p w14:paraId="48BFF8EC" w14:textId="284FCBDF" w:rsidR="00075402" w:rsidRPr="00CF20F6" w:rsidRDefault="0000785E" w:rsidP="00075402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Palforzia</w:t>
            </w:r>
            <w:proofErr w:type="spellEnd"/>
            <w:r w:rsidRPr="0000785E">
              <w:rPr>
                <w:rFonts w:ascii="Verdana" w:hAnsi="Verdana"/>
              </w:rPr>
              <w:t xml:space="preserve"> [peanut (Arachis hypogaea) allergen powder for peanut allergy desensitization age expansion down to age 1</w:t>
            </w:r>
          </w:p>
          <w:p w14:paraId="6C228C09" w14:textId="000E8AEB" w:rsidR="00075402" w:rsidRPr="0000785E" w:rsidRDefault="00075402" w:rsidP="00075402">
            <w:pPr>
              <w:rPr>
                <w:rFonts w:ascii="Verdana" w:hAnsi="Verdana"/>
              </w:rPr>
            </w:pPr>
          </w:p>
        </w:tc>
        <w:tc>
          <w:tcPr>
            <w:tcW w:w="4088" w:type="dxa"/>
            <w:shd w:val="clear" w:color="auto" w:fill="auto"/>
          </w:tcPr>
          <w:p w14:paraId="7567846B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04632F8E" w14:textId="38C9CF0D" w:rsidR="00075402" w:rsidRPr="00AF03AD" w:rsidRDefault="00075402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75DE30A" w14:textId="65590F28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C241ED8" w14:textId="19003A50" w:rsidR="00075402" w:rsidRPr="00AF03AD" w:rsidRDefault="00075402" w:rsidP="00075402">
            <w:pPr>
              <w:rPr>
                <w:rFonts w:ascii="Verdana" w:hAnsi="Verdana"/>
              </w:rPr>
            </w:pPr>
          </w:p>
        </w:tc>
      </w:tr>
      <w:tr w:rsidR="00075402" w:rsidRPr="00852F8C" w14:paraId="7403E543" w14:textId="77777777" w:rsidTr="00166739">
        <w:tc>
          <w:tcPr>
            <w:tcW w:w="2674" w:type="dxa"/>
            <w:shd w:val="clear" w:color="auto" w:fill="auto"/>
          </w:tcPr>
          <w:p w14:paraId="28120F19" w14:textId="4C86492D" w:rsidR="00075402" w:rsidRPr="0000785E" w:rsidRDefault="0000785E" w:rsidP="00F6467A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Vyvgart</w:t>
            </w:r>
            <w:proofErr w:type="spellEnd"/>
            <w:r w:rsidRPr="000D701C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0D701C">
              <w:rPr>
                <w:rFonts w:ascii="Verdana" w:hAnsi="Verdana"/>
                <w:b/>
                <w:bCs/>
              </w:rPr>
              <w:t>Hytrulo</w:t>
            </w:r>
            <w:proofErr w:type="spellEnd"/>
            <w:r w:rsidRPr="0000785E">
              <w:rPr>
                <w:rFonts w:ascii="Verdana" w:hAnsi="Verdana"/>
              </w:rPr>
              <w:t xml:space="preserve"> (efgartigimod alfa and hyaluronidase) SQ vial for treatment of adults with chronic inflammatory demyelinating polyneuropathy (CIDP)</w:t>
            </w:r>
          </w:p>
        </w:tc>
        <w:tc>
          <w:tcPr>
            <w:tcW w:w="4088" w:type="dxa"/>
            <w:shd w:val="clear" w:color="auto" w:fill="auto"/>
          </w:tcPr>
          <w:p w14:paraId="1F4FE16D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57D9EF13" w14:textId="77A907C7" w:rsidR="00075402" w:rsidRPr="00AF03AD" w:rsidRDefault="00075402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BA66E00" w14:textId="755CEF2B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EB58032" w14:textId="1F03B6C9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F7B60B7" w14:textId="77777777" w:rsidTr="00166739">
        <w:tc>
          <w:tcPr>
            <w:tcW w:w="2674" w:type="dxa"/>
            <w:shd w:val="clear" w:color="auto" w:fill="auto"/>
          </w:tcPr>
          <w:p w14:paraId="547F3925" w14:textId="47350E31" w:rsidR="00075402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Fibryga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[fibrinogen (human)] 1 gm IV vial – acute bleeding episodes (BEs) for patients with acquired fibrinogen deficiency</w:t>
            </w:r>
          </w:p>
        </w:tc>
        <w:tc>
          <w:tcPr>
            <w:tcW w:w="4088" w:type="dxa"/>
            <w:shd w:val="clear" w:color="auto" w:fill="auto"/>
          </w:tcPr>
          <w:p w14:paraId="5687E372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2FC01962" w14:textId="0F11B9BE" w:rsidR="00075402" w:rsidRPr="00AF03AD" w:rsidRDefault="00075402" w:rsidP="00F6467A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4155" w:type="dxa"/>
            <w:shd w:val="clear" w:color="auto" w:fill="auto"/>
          </w:tcPr>
          <w:p w14:paraId="65484D3D" w14:textId="5B87B420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79A8F60" w14:textId="06EB5F60" w:rsidR="00075402" w:rsidRPr="00AF03AD" w:rsidRDefault="00075402" w:rsidP="00075402">
            <w:pPr>
              <w:spacing w:after="240"/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2856C60" w14:textId="77777777" w:rsidTr="00166739">
        <w:tc>
          <w:tcPr>
            <w:tcW w:w="2674" w:type="dxa"/>
            <w:shd w:val="clear" w:color="auto" w:fill="auto"/>
          </w:tcPr>
          <w:p w14:paraId="38BEAD85" w14:textId="3BD5F9C1" w:rsidR="00075402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Imfinzi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(durvalumab)) 50 mg/mL IV vials – 2 new indications, 1) to be used in combination with platinum-containing chemotherapy as neoadjuvant treatment, followed by durvalumab continued as a single agent as adjuvant treatment after surgery, for the 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lastRenderedPageBreak/>
              <w:t xml:space="preserve">treatment of adult patients with non-small cell lung cancer (NSCLC) and no known EGFR mutations or ALK rearrangements, and 2) in combination with 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tremelimummab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and platinum-based chemotherapy, for the treatment of adult patients with metastatic NSCLC with no sensitizing EGFR mutations or ALK genomic tumor aberrations.</w:t>
            </w:r>
          </w:p>
        </w:tc>
        <w:tc>
          <w:tcPr>
            <w:tcW w:w="4088" w:type="dxa"/>
            <w:shd w:val="clear" w:color="auto" w:fill="auto"/>
          </w:tcPr>
          <w:p w14:paraId="362D65E1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0613AA00" w14:textId="77777777" w:rsidR="00075402" w:rsidRPr="00AF03AD" w:rsidRDefault="00075402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0A1AC3F" w14:textId="5EDAEA84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B6D7DF1" w14:textId="77777777" w:rsidR="00075402" w:rsidRPr="00AF03AD" w:rsidRDefault="00075402" w:rsidP="00075402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6AFA6694" w14:textId="77777777" w:rsidTr="00166739">
        <w:tc>
          <w:tcPr>
            <w:tcW w:w="2674" w:type="dxa"/>
            <w:shd w:val="clear" w:color="auto" w:fill="auto"/>
          </w:tcPr>
          <w:p w14:paraId="1A56E124" w14:textId="618ED099" w:rsidR="00166739" w:rsidRPr="0000785E" w:rsidRDefault="0000785E" w:rsidP="00F6467A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Darzalex</w:t>
            </w:r>
            <w:proofErr w:type="spellEnd"/>
            <w:r w:rsidRPr="000D701C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0D701C">
              <w:rPr>
                <w:rFonts w:ascii="Verdana" w:hAnsi="Verdana"/>
                <w:b/>
                <w:bCs/>
              </w:rPr>
              <w:t>Faspro</w:t>
            </w:r>
            <w:proofErr w:type="spellEnd"/>
            <w:r w:rsidRPr="0000785E">
              <w:rPr>
                <w:rFonts w:ascii="Verdana" w:hAnsi="Verdana"/>
              </w:rPr>
              <w:t xml:space="preserve"> (daratumumab and </w:t>
            </w:r>
            <w:proofErr w:type="gramStart"/>
            <w:r w:rsidRPr="0000785E">
              <w:rPr>
                <w:rFonts w:ascii="Verdana" w:hAnsi="Verdana"/>
              </w:rPr>
              <w:t>hyaluronidase)  1,800</w:t>
            </w:r>
            <w:proofErr w:type="gramEnd"/>
            <w:r w:rsidRPr="0000785E">
              <w:rPr>
                <w:rFonts w:ascii="Verdana" w:hAnsi="Verdana"/>
              </w:rPr>
              <w:t xml:space="preserve"> mg-30,000 units/15 mL SQ injection – in combination with bortezomib, lenalidomide, and dexamethasone, for induction and consolidation in newly diagnosed multiple myeloma patients who are eligible for autologous stem cell transplant</w:t>
            </w:r>
          </w:p>
        </w:tc>
        <w:tc>
          <w:tcPr>
            <w:tcW w:w="4088" w:type="dxa"/>
            <w:shd w:val="clear" w:color="auto" w:fill="auto"/>
          </w:tcPr>
          <w:p w14:paraId="06AA3DF0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1207E7EA" w14:textId="77777777" w:rsidR="00166739" w:rsidRPr="007E4E57" w:rsidRDefault="00166739" w:rsidP="00F6467A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4155" w:type="dxa"/>
            <w:shd w:val="clear" w:color="auto" w:fill="auto"/>
          </w:tcPr>
          <w:p w14:paraId="07937692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458BA9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17CA87CD" w14:textId="77777777" w:rsidTr="00166739">
        <w:tc>
          <w:tcPr>
            <w:tcW w:w="2674" w:type="dxa"/>
            <w:shd w:val="clear" w:color="auto" w:fill="auto"/>
          </w:tcPr>
          <w:p w14:paraId="69CC1936" w14:textId="1A127E01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Rybrevant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amiivantamab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) 50 mg/mL IV injection in combination with 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Lazcluze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lazertinib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tablets for EGFR mutated NSCLC</w:t>
            </w:r>
          </w:p>
        </w:tc>
        <w:tc>
          <w:tcPr>
            <w:tcW w:w="4088" w:type="dxa"/>
            <w:shd w:val="clear" w:color="auto" w:fill="auto"/>
          </w:tcPr>
          <w:p w14:paraId="4C16C175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55F02075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4CA50C5" w14:textId="49859912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C2E9D2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  <w:p w14:paraId="7819FB4C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7FD52854" w14:textId="77777777" w:rsidTr="00166739">
        <w:tc>
          <w:tcPr>
            <w:tcW w:w="2674" w:type="dxa"/>
            <w:shd w:val="clear" w:color="auto" w:fill="auto"/>
          </w:tcPr>
          <w:p w14:paraId="71BB1DA5" w14:textId="46B4C2EF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Brineura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cerliponase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alfa) 150 mg/5 mL intraventricular injection kit for 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lastRenderedPageBreak/>
              <w:t>tripeptidyl 1 deficiency age expansion to all ages (previously 3+)</w:t>
            </w:r>
          </w:p>
        </w:tc>
        <w:tc>
          <w:tcPr>
            <w:tcW w:w="4088" w:type="dxa"/>
            <w:shd w:val="clear" w:color="auto" w:fill="auto"/>
          </w:tcPr>
          <w:p w14:paraId="200871DC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326D34FC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985B9D4" w14:textId="6A0C1C1D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2966CB5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4C1157FE" w14:textId="77777777" w:rsidTr="00166739">
        <w:tc>
          <w:tcPr>
            <w:tcW w:w="2674" w:type="dxa"/>
            <w:shd w:val="clear" w:color="auto" w:fill="auto"/>
          </w:tcPr>
          <w:p w14:paraId="2987B41C" w14:textId="63A06A61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Filspari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sparsentan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200 &amp; 400 mg tablets for primary immunoglobulin A nephropathy full approval</w:t>
            </w:r>
          </w:p>
        </w:tc>
        <w:tc>
          <w:tcPr>
            <w:tcW w:w="4088" w:type="dxa"/>
            <w:shd w:val="clear" w:color="auto" w:fill="auto"/>
          </w:tcPr>
          <w:p w14:paraId="7F04BBEA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56156AB1" w14:textId="334A091B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87A7CE3" w14:textId="5F1A5E84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EAADDF2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21A8E4DC" w14:textId="77777777" w:rsidTr="00166739">
        <w:tc>
          <w:tcPr>
            <w:tcW w:w="2674" w:type="dxa"/>
            <w:shd w:val="clear" w:color="auto" w:fill="auto"/>
          </w:tcPr>
          <w:p w14:paraId="0475C968" w14:textId="6F5F499E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Dupixent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(dupilumab) 300 mg/2 mL SQ injection for chronic rhinosinusitis with nasal polyps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CRSwNP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in patients &gt; 12 years age expansion</w:t>
            </w:r>
          </w:p>
        </w:tc>
        <w:tc>
          <w:tcPr>
            <w:tcW w:w="4088" w:type="dxa"/>
            <w:shd w:val="clear" w:color="auto" w:fill="auto"/>
          </w:tcPr>
          <w:p w14:paraId="73AA0CA5" w14:textId="63D29621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– F</w:t>
            </w:r>
          </w:p>
          <w:p w14:paraId="35BC5E98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81F0F4B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685AF75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5D030395" w14:textId="77777777" w:rsidTr="00166739">
        <w:tc>
          <w:tcPr>
            <w:tcW w:w="2674" w:type="dxa"/>
            <w:shd w:val="clear" w:color="auto" w:fill="auto"/>
          </w:tcPr>
          <w:p w14:paraId="7CE2438D" w14:textId="603E758C" w:rsidR="00166739" w:rsidRPr="0000785E" w:rsidRDefault="0000785E" w:rsidP="00166739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Bimzelx</w:t>
            </w:r>
            <w:proofErr w:type="spellEnd"/>
            <w:r w:rsidRPr="0000785E">
              <w:rPr>
                <w:rFonts w:ascii="Verdana" w:hAnsi="Verdana"/>
              </w:rPr>
              <w:t xml:space="preserve"> (</w:t>
            </w:r>
            <w:proofErr w:type="spellStart"/>
            <w:r w:rsidRPr="0000785E">
              <w:rPr>
                <w:rFonts w:ascii="Verdana" w:hAnsi="Verdana"/>
              </w:rPr>
              <w:t>bimekizumab</w:t>
            </w:r>
            <w:proofErr w:type="spellEnd"/>
            <w:r w:rsidRPr="0000785E">
              <w:rPr>
                <w:rFonts w:ascii="Verdana" w:hAnsi="Verdana"/>
              </w:rPr>
              <w:t xml:space="preserve">) 160 mg/mL SQ injection – 3 new indications: 1) psoriatic arthritis (PsA), 2) non-radiographic axial </w:t>
            </w:r>
            <w:proofErr w:type="spellStart"/>
            <w:r w:rsidRPr="0000785E">
              <w:rPr>
                <w:rFonts w:ascii="Verdana" w:hAnsi="Verdana"/>
              </w:rPr>
              <w:t>spondyloarthritis</w:t>
            </w:r>
            <w:proofErr w:type="spellEnd"/>
            <w:r w:rsidRPr="0000785E">
              <w:rPr>
                <w:rFonts w:ascii="Verdana" w:hAnsi="Verdana"/>
              </w:rPr>
              <w:t xml:space="preserve"> (nr-</w:t>
            </w:r>
            <w:proofErr w:type="spellStart"/>
            <w:r w:rsidRPr="0000785E">
              <w:rPr>
                <w:rFonts w:ascii="Verdana" w:hAnsi="Verdana"/>
              </w:rPr>
              <w:t>axSpA</w:t>
            </w:r>
            <w:proofErr w:type="spellEnd"/>
            <w:r w:rsidRPr="0000785E">
              <w:rPr>
                <w:rFonts w:ascii="Verdana" w:hAnsi="Verdana"/>
              </w:rPr>
              <w:t>), &amp; 3) ankylosing spondylitis (AS) in adults</w:t>
            </w:r>
          </w:p>
        </w:tc>
        <w:tc>
          <w:tcPr>
            <w:tcW w:w="4088" w:type="dxa"/>
            <w:shd w:val="clear" w:color="auto" w:fill="auto"/>
          </w:tcPr>
          <w:p w14:paraId="20D6590A" w14:textId="6D05A8C1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NP</w:t>
            </w:r>
            <w:r w:rsidRPr="00AF03AD">
              <w:rPr>
                <w:rFonts w:ascii="Verdana" w:hAnsi="Verdana"/>
              </w:rPr>
              <w:t xml:space="preserve">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0F468338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A9A7A0C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F24ACB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215003E8" w14:textId="77777777" w:rsidTr="00166739">
        <w:tc>
          <w:tcPr>
            <w:tcW w:w="2674" w:type="dxa"/>
            <w:shd w:val="clear" w:color="auto" w:fill="auto"/>
          </w:tcPr>
          <w:p w14:paraId="3947B66E" w14:textId="4C1CEDBD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Fasenra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benralizumab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160 mg/mL injection – treat adults with eosinophilic granulomatosis with polyangiitis (EGPA)</w:t>
            </w:r>
          </w:p>
        </w:tc>
        <w:tc>
          <w:tcPr>
            <w:tcW w:w="4088" w:type="dxa"/>
            <w:shd w:val="clear" w:color="auto" w:fill="auto"/>
          </w:tcPr>
          <w:p w14:paraId="0D27EC27" w14:textId="3C89D1EE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Medicare –F, PPO – F, Medicaid – </w:t>
            </w:r>
            <w:r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P</w:t>
            </w:r>
            <w:r w:rsidRPr="00AF03AD">
              <w:rPr>
                <w:rFonts w:ascii="Verdana" w:hAnsi="Verdana"/>
              </w:rPr>
              <w:t>, HIX – F</w:t>
            </w:r>
          </w:p>
          <w:p w14:paraId="0F2E68CA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3491B58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276C42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7C8936F3" w14:textId="77777777" w:rsidTr="00166739">
        <w:tc>
          <w:tcPr>
            <w:tcW w:w="2674" w:type="dxa"/>
            <w:shd w:val="clear" w:color="auto" w:fill="auto"/>
          </w:tcPr>
          <w:p w14:paraId="04859285" w14:textId="3D03E703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Rybrevant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amivantamab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) 50 mg/mL IV vials – in combination with carboplatin and pemetrexed for adult patients with locally advanced or metastatic non-small 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lastRenderedPageBreak/>
              <w:t xml:space="preserve">cell lung cancer (NSCLC) harboring epidermal growth 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favtor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receptor (EGFR) exon 19 deletions or exon 21 L858R substitution mutations whose disease has progressed on or after treatment with an EGFR tyrosine kinase inhibitor</w:t>
            </w:r>
          </w:p>
        </w:tc>
        <w:tc>
          <w:tcPr>
            <w:tcW w:w="4088" w:type="dxa"/>
            <w:shd w:val="clear" w:color="auto" w:fill="auto"/>
          </w:tcPr>
          <w:p w14:paraId="0E476936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1352B649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6AAB18B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727CA4F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503A1F1B" w14:textId="77777777" w:rsidTr="00166739">
        <w:tc>
          <w:tcPr>
            <w:tcW w:w="2674" w:type="dxa"/>
            <w:shd w:val="clear" w:color="auto" w:fill="auto"/>
          </w:tcPr>
          <w:p w14:paraId="67CE7B4A" w14:textId="3ED38E2B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Keytruda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(pembrolizumab) 25 mg/mL IV solutions – in combination with pemetrexed and platinum chemotherapy as first-line treatment of adults with unresectable advanced or metastatic malignant pleural mesothelioma</w:t>
            </w:r>
          </w:p>
        </w:tc>
        <w:tc>
          <w:tcPr>
            <w:tcW w:w="4088" w:type="dxa"/>
            <w:shd w:val="clear" w:color="auto" w:fill="auto"/>
          </w:tcPr>
          <w:p w14:paraId="649BF69C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775CC2C9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0D6A12A4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CA9915B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2CADF6B0" w14:textId="77777777" w:rsidTr="00166739">
        <w:tc>
          <w:tcPr>
            <w:tcW w:w="2674" w:type="dxa"/>
            <w:shd w:val="clear" w:color="auto" w:fill="auto"/>
          </w:tcPr>
          <w:p w14:paraId="00C80469" w14:textId="4EA163D0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Sarclisa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isatuximab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20 mg/mL IV vials – for use with bortezomib, lenalidomide, and dexamethasone for adults with newly diagnosed multiple myeloma who are not eligible for autologous stem cell transplant</w:t>
            </w:r>
          </w:p>
        </w:tc>
        <w:tc>
          <w:tcPr>
            <w:tcW w:w="4088" w:type="dxa"/>
            <w:shd w:val="clear" w:color="auto" w:fill="auto"/>
          </w:tcPr>
          <w:p w14:paraId="4E50AF24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145DE978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959DBD8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1D25258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638DFFF4" w14:textId="77777777" w:rsidTr="00166739">
        <w:tc>
          <w:tcPr>
            <w:tcW w:w="2674" w:type="dxa"/>
            <w:shd w:val="clear" w:color="auto" w:fill="auto"/>
          </w:tcPr>
          <w:p w14:paraId="176AFBA5" w14:textId="72B3D6E3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Cimzia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(certolizumab) 200 mg/mL SQ injection – treatment of active polyarticular juvenile idiopathic arthritis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pJIA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in patients &gt; 2 years of age</w:t>
            </w:r>
          </w:p>
        </w:tc>
        <w:tc>
          <w:tcPr>
            <w:tcW w:w="4088" w:type="dxa"/>
            <w:shd w:val="clear" w:color="auto" w:fill="auto"/>
          </w:tcPr>
          <w:p w14:paraId="085BC436" w14:textId="62A64806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P</w:t>
            </w:r>
            <w:r w:rsidRPr="00AF03AD">
              <w:rPr>
                <w:rFonts w:ascii="Verdana" w:hAnsi="Verdana"/>
              </w:rPr>
              <w:t>, HIX – F</w:t>
            </w:r>
          </w:p>
          <w:p w14:paraId="7E44B3B7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753C522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CAF7E53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5B870A6E" w14:textId="77777777" w:rsidTr="00166739">
        <w:tc>
          <w:tcPr>
            <w:tcW w:w="2674" w:type="dxa"/>
            <w:shd w:val="clear" w:color="auto" w:fill="auto"/>
          </w:tcPr>
          <w:p w14:paraId="32C75D2D" w14:textId="059B2163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lastRenderedPageBreak/>
              <w:t>Jylamvo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(methotrexate) 2 mg/mL oral solution for polyarticular juvenile idiopathic arthritis &amp; for pediatric patients with acute lymphoblastic leukemia</w:t>
            </w:r>
          </w:p>
        </w:tc>
        <w:tc>
          <w:tcPr>
            <w:tcW w:w="4088" w:type="dxa"/>
            <w:shd w:val="clear" w:color="auto" w:fill="auto"/>
          </w:tcPr>
          <w:p w14:paraId="4382EDB6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254E5700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3BE971E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496C51B3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41427A31" w14:textId="77777777" w:rsidTr="00166739">
        <w:tc>
          <w:tcPr>
            <w:tcW w:w="2674" w:type="dxa"/>
            <w:shd w:val="clear" w:color="auto" w:fill="auto"/>
          </w:tcPr>
          <w:p w14:paraId="010818CE" w14:textId="34650354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Prevymis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letermovir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240 &amp; 480 mg tablets for CMV prophylaxis in patients &gt; months who are CMW-seropositive recipients of allogenic stem cell transplant &amp; patients &gt; 12 years who are kidney transplant recipients and high risk (age expansion)</w:t>
            </w:r>
          </w:p>
        </w:tc>
        <w:tc>
          <w:tcPr>
            <w:tcW w:w="4088" w:type="dxa"/>
            <w:shd w:val="clear" w:color="auto" w:fill="auto"/>
          </w:tcPr>
          <w:p w14:paraId="20260BB0" w14:textId="6DD4114A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– F</w:t>
            </w:r>
          </w:p>
          <w:p w14:paraId="2EAC4F1C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1B85E12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363A876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06575FEF" w14:textId="77777777" w:rsidTr="00166739">
        <w:tc>
          <w:tcPr>
            <w:tcW w:w="2674" w:type="dxa"/>
            <w:shd w:val="clear" w:color="auto" w:fill="auto"/>
          </w:tcPr>
          <w:p w14:paraId="3C972716" w14:textId="4B9C89E2" w:rsidR="00166739" w:rsidRPr="0000785E" w:rsidRDefault="0000785E" w:rsidP="00166739">
            <w:pPr>
              <w:rPr>
                <w:rFonts w:ascii="Verdana" w:hAnsi="Verdana"/>
              </w:rPr>
            </w:pPr>
            <w:r w:rsidRPr="000D701C">
              <w:rPr>
                <w:rFonts w:ascii="Verdana" w:hAnsi="Verdana"/>
                <w:b/>
                <w:bCs/>
              </w:rPr>
              <w:t>Dupixent</w:t>
            </w:r>
            <w:r w:rsidRPr="0000785E">
              <w:rPr>
                <w:rFonts w:ascii="Verdana" w:hAnsi="Verdana"/>
              </w:rPr>
              <w:t xml:space="preserve"> (dupilumab) 300 mg/2mL SQ injection for add-on maintenance treatment of inadequately controlled COPD with an eosinophilic phenotype</w:t>
            </w:r>
          </w:p>
        </w:tc>
        <w:tc>
          <w:tcPr>
            <w:tcW w:w="4088" w:type="dxa"/>
            <w:shd w:val="clear" w:color="auto" w:fill="auto"/>
          </w:tcPr>
          <w:p w14:paraId="00855A8A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– F</w:t>
            </w:r>
          </w:p>
          <w:p w14:paraId="0DC33FD3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8FDC243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6744A6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6669B4CE" w14:textId="77777777" w:rsidTr="00166739">
        <w:tc>
          <w:tcPr>
            <w:tcW w:w="2674" w:type="dxa"/>
            <w:shd w:val="clear" w:color="auto" w:fill="auto"/>
          </w:tcPr>
          <w:p w14:paraId="39813456" w14:textId="038B0AA5" w:rsidR="00166739" w:rsidRPr="0000785E" w:rsidRDefault="0000785E" w:rsidP="00166739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Kisqali</w:t>
            </w:r>
            <w:proofErr w:type="spellEnd"/>
            <w:r w:rsidRPr="0000785E">
              <w:rPr>
                <w:rFonts w:ascii="Verdana" w:hAnsi="Verdana"/>
              </w:rPr>
              <w:t xml:space="preserve"> (</w:t>
            </w:r>
            <w:proofErr w:type="spellStart"/>
            <w:r w:rsidRPr="0000785E">
              <w:rPr>
                <w:rFonts w:ascii="Verdana" w:hAnsi="Verdana"/>
              </w:rPr>
              <w:t>ribociclib</w:t>
            </w:r>
            <w:proofErr w:type="spellEnd"/>
            <w:r w:rsidRPr="0000785E">
              <w:rPr>
                <w:rFonts w:ascii="Verdana" w:hAnsi="Verdana"/>
              </w:rPr>
              <w:t>) 200 mg tablets – adjuvant treatment of HR+, HER2-, stage II and III early breast cancer at high risk of recurrence</w:t>
            </w:r>
          </w:p>
        </w:tc>
        <w:tc>
          <w:tcPr>
            <w:tcW w:w="4088" w:type="dxa"/>
            <w:shd w:val="clear" w:color="auto" w:fill="auto"/>
          </w:tcPr>
          <w:p w14:paraId="69CDBC01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2CC18E47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A126991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87BF4C4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34B68DC2" w14:textId="77777777" w:rsidTr="00166739">
        <w:tc>
          <w:tcPr>
            <w:tcW w:w="2674" w:type="dxa"/>
            <w:shd w:val="clear" w:color="auto" w:fill="auto"/>
          </w:tcPr>
          <w:p w14:paraId="17D13A9A" w14:textId="5C726379" w:rsidR="00166739" w:rsidRPr="0000785E" w:rsidRDefault="0000785E" w:rsidP="00166739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Retevmo</w:t>
            </w:r>
            <w:proofErr w:type="spellEnd"/>
            <w:r w:rsidRPr="0000785E">
              <w:rPr>
                <w:rFonts w:ascii="Verdana" w:hAnsi="Verdana"/>
              </w:rPr>
              <w:t xml:space="preserve"> (</w:t>
            </w:r>
            <w:proofErr w:type="spellStart"/>
            <w:r w:rsidRPr="0000785E">
              <w:rPr>
                <w:rFonts w:ascii="Verdana" w:hAnsi="Verdana"/>
              </w:rPr>
              <w:t>selpercatinib</w:t>
            </w:r>
            <w:proofErr w:type="spellEnd"/>
            <w:r w:rsidRPr="0000785E">
              <w:rPr>
                <w:rFonts w:ascii="Verdana" w:hAnsi="Verdana"/>
              </w:rPr>
              <w:t xml:space="preserve">) 40 &amp; 80 mg capsules and 40, 80, 12, &amp; 160 mg tablets – full approval </w:t>
            </w:r>
            <w:r w:rsidRPr="0000785E">
              <w:rPr>
                <w:rFonts w:ascii="Verdana" w:hAnsi="Verdana"/>
              </w:rPr>
              <w:lastRenderedPageBreak/>
              <w:t>for adult and pediatric patients 2 years of age and older with advanced or metastatic medullary thyroid cancer (MTC) with a RET mutation, who require systemic therapy, previously an accelerated approval</w:t>
            </w:r>
          </w:p>
        </w:tc>
        <w:tc>
          <w:tcPr>
            <w:tcW w:w="4088" w:type="dxa"/>
            <w:shd w:val="clear" w:color="auto" w:fill="auto"/>
          </w:tcPr>
          <w:p w14:paraId="1793C37F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–F, PPO – F, Medicaid – F, HIX – F</w:t>
            </w:r>
          </w:p>
          <w:p w14:paraId="50C1E662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F68C8BA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9B01F8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475A2232" w14:textId="77777777" w:rsidTr="00166739">
        <w:tc>
          <w:tcPr>
            <w:tcW w:w="2674" w:type="dxa"/>
            <w:shd w:val="clear" w:color="auto" w:fill="auto"/>
          </w:tcPr>
          <w:p w14:paraId="078732F7" w14:textId="58416D3C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Fragmin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dalteparin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) SQ injection – for treatment of symptomatic venous thromboembolism (VTE) to reduce recurrence in pediatric patients from birth &gt; 35 weeks of gestation. Age expansion from &gt; 1 month of age</w:t>
            </w:r>
          </w:p>
        </w:tc>
        <w:tc>
          <w:tcPr>
            <w:tcW w:w="4088" w:type="dxa"/>
            <w:shd w:val="clear" w:color="auto" w:fill="auto"/>
          </w:tcPr>
          <w:p w14:paraId="1ABF8C52" w14:textId="128A083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NP</w:t>
            </w:r>
            <w:r w:rsidRPr="00AF03AD">
              <w:rPr>
                <w:rFonts w:ascii="Verdana" w:hAnsi="Verdana"/>
              </w:rPr>
              <w:t>, HIX – F</w:t>
            </w:r>
          </w:p>
          <w:p w14:paraId="68BAEC5E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1E9545F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60ACCA7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2069C67E" w14:textId="77777777" w:rsidTr="00166739">
        <w:tc>
          <w:tcPr>
            <w:tcW w:w="2674" w:type="dxa"/>
            <w:shd w:val="clear" w:color="auto" w:fill="auto"/>
          </w:tcPr>
          <w:p w14:paraId="6463A74B" w14:textId="422F3321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Abrysvo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(RSV vaccine) 0.5 mL injection for prevention of LRTD caused by RSV in individuals aged 18 to 59 years at increased risk for infection – age expansion</w:t>
            </w:r>
          </w:p>
        </w:tc>
        <w:tc>
          <w:tcPr>
            <w:tcW w:w="4088" w:type="dxa"/>
            <w:shd w:val="clear" w:color="auto" w:fill="auto"/>
          </w:tcPr>
          <w:p w14:paraId="7C40E9BE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– F</w:t>
            </w:r>
          </w:p>
          <w:p w14:paraId="5E15DEA2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5F56A151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80AC665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6FE71691" w14:textId="77777777" w:rsidTr="00166739">
        <w:tc>
          <w:tcPr>
            <w:tcW w:w="2674" w:type="dxa"/>
            <w:shd w:val="clear" w:color="auto" w:fill="auto"/>
          </w:tcPr>
          <w:p w14:paraId="0FF51EC9" w14:textId="3E0605CD" w:rsidR="00166739" w:rsidRPr="0000785E" w:rsidRDefault="0000785E" w:rsidP="00166739">
            <w:pPr>
              <w:rPr>
                <w:rFonts w:ascii="Verdana" w:hAnsi="Verdana"/>
              </w:rPr>
            </w:pPr>
            <w:proofErr w:type="spellStart"/>
            <w:r w:rsidRPr="000D701C">
              <w:rPr>
                <w:rFonts w:ascii="Verdana" w:hAnsi="Verdana"/>
                <w:b/>
                <w:bCs/>
              </w:rPr>
              <w:t>Lumryz</w:t>
            </w:r>
            <w:proofErr w:type="spellEnd"/>
            <w:r w:rsidRPr="0000785E">
              <w:rPr>
                <w:rFonts w:ascii="Verdana" w:hAnsi="Verdana"/>
              </w:rPr>
              <w:t xml:space="preserve"> (sodium </w:t>
            </w:r>
            <w:proofErr w:type="spellStart"/>
            <w:r w:rsidRPr="0000785E">
              <w:rPr>
                <w:rFonts w:ascii="Verdana" w:hAnsi="Verdana"/>
              </w:rPr>
              <w:t>oxybate</w:t>
            </w:r>
            <w:proofErr w:type="spellEnd"/>
            <w:r w:rsidRPr="0000785E">
              <w:rPr>
                <w:rFonts w:ascii="Verdana" w:hAnsi="Verdana"/>
              </w:rPr>
              <w:t xml:space="preserve">) </w:t>
            </w:r>
            <w:proofErr w:type="gramStart"/>
            <w:r w:rsidRPr="0000785E">
              <w:rPr>
                <w:rFonts w:ascii="Verdana" w:hAnsi="Verdana"/>
              </w:rPr>
              <w:t>4.5, 6, 7.5, &amp; 9 gram</w:t>
            </w:r>
            <w:proofErr w:type="gramEnd"/>
            <w:r w:rsidRPr="0000785E">
              <w:rPr>
                <w:rFonts w:ascii="Verdana" w:hAnsi="Verdana"/>
              </w:rPr>
              <w:t xml:space="preserve"> ER packets for oral suspension for cataplexy or excessive daytime sleepiness in patients aged &gt; 7 years – age expansion</w:t>
            </w:r>
          </w:p>
        </w:tc>
        <w:tc>
          <w:tcPr>
            <w:tcW w:w="4088" w:type="dxa"/>
            <w:shd w:val="clear" w:color="auto" w:fill="auto"/>
          </w:tcPr>
          <w:p w14:paraId="70160B79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49AACF20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9779458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8D8CAC1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3A7C031B" w14:textId="77777777" w:rsidTr="00166739">
        <w:tc>
          <w:tcPr>
            <w:tcW w:w="2674" w:type="dxa"/>
            <w:shd w:val="clear" w:color="auto" w:fill="auto"/>
          </w:tcPr>
          <w:p w14:paraId="3D7CDFD3" w14:textId="2498BDCA" w:rsidR="00166739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Opdivo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(nivolumab) 10 mg/mL IV vials – adult patients with 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resectable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(tumors &gt; 4 cm or node 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lastRenderedPageBreak/>
              <w:t>positive) non-small cell lung cancer (NSCLC) and no known EGFR mutations or ALK rearrangements, for neoadjuvant treatment, in combination with platinum-doublet chemotherapy, followed by single-agent nivolumab as adjuvant treatment after surgery</w:t>
            </w:r>
          </w:p>
        </w:tc>
        <w:tc>
          <w:tcPr>
            <w:tcW w:w="4088" w:type="dxa"/>
            <w:shd w:val="clear" w:color="auto" w:fill="auto"/>
          </w:tcPr>
          <w:p w14:paraId="18C31F97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7AA36DA0" w14:textId="77777777" w:rsidR="00166739" w:rsidRPr="00AF03AD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B82A75F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AB19A5E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00785E" w:rsidRPr="00852F8C" w14:paraId="4A289C4A" w14:textId="77777777" w:rsidTr="00166739">
        <w:tc>
          <w:tcPr>
            <w:tcW w:w="2674" w:type="dxa"/>
            <w:shd w:val="clear" w:color="auto" w:fill="auto"/>
          </w:tcPr>
          <w:p w14:paraId="773DB65E" w14:textId="79EDA6B8" w:rsidR="0000785E" w:rsidRPr="0000785E" w:rsidRDefault="0000785E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0D701C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  <w14:ligatures w14:val="none"/>
              </w:rPr>
              <w:t>Botox Cosmetic</w:t>
            </w:r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onabotulinumtoxinA</w:t>
            </w:r>
            <w:proofErr w:type="spell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) </w:t>
            </w:r>
            <w:proofErr w:type="gramStart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>50 &amp; 100 unit</w:t>
            </w:r>
            <w:proofErr w:type="gramEnd"/>
            <w:r w:rsidRPr="0000785E"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  <w:t xml:space="preserve"> vials – for temporary improvement in the appearance of moderate to severe platysma bands in adults</w:t>
            </w:r>
          </w:p>
        </w:tc>
        <w:tc>
          <w:tcPr>
            <w:tcW w:w="4088" w:type="dxa"/>
            <w:shd w:val="clear" w:color="auto" w:fill="auto"/>
          </w:tcPr>
          <w:p w14:paraId="109F966F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PPO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Medicaid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F, HIX – </w:t>
            </w:r>
            <w:r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>F</w:t>
            </w:r>
          </w:p>
          <w:p w14:paraId="158A3D58" w14:textId="77777777" w:rsidR="0000785E" w:rsidRPr="00AF03AD" w:rsidRDefault="0000785E" w:rsidP="00F6467A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2617F5AB" w14:textId="77777777" w:rsidR="00EA0D64" w:rsidRPr="00AF03AD" w:rsidRDefault="00EA0D64" w:rsidP="00EA0D6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36022EC" w14:textId="77777777" w:rsidR="0000785E" w:rsidRPr="00AF03AD" w:rsidRDefault="0000785E" w:rsidP="00166739">
            <w:pPr>
              <w:rPr>
                <w:rFonts w:ascii="Verdana" w:hAnsi="Verdana"/>
              </w:rPr>
            </w:pPr>
          </w:p>
        </w:tc>
      </w:tr>
    </w:tbl>
    <w:p w14:paraId="0671F897" w14:textId="3AD8DE7D" w:rsidR="007D1D6A" w:rsidRPr="00852F8C" w:rsidRDefault="007D1D6A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4971A5" w:rsidRPr="00852F8C" w14:paraId="26EAAAF1" w14:textId="77777777" w:rsidTr="001C6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B53623" w14:textId="79C97540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4971A5" w:rsidRPr="00852F8C" w14:paraId="3AC4146F" w14:textId="77777777" w:rsidTr="001C6EB3">
        <w:trPr>
          <w:trHeight w:val="566"/>
        </w:trPr>
        <w:tc>
          <w:tcPr>
            <w:tcW w:w="2520" w:type="dxa"/>
          </w:tcPr>
          <w:p w14:paraId="13ACAB4E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62" w:type="dxa"/>
          </w:tcPr>
          <w:p w14:paraId="62349B50" w14:textId="20D15088" w:rsidR="004971A5" w:rsidRPr="00AB22E9" w:rsidRDefault="00AB22E9" w:rsidP="001C6EB3">
            <w:pPr>
              <w:spacing w:after="240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B22E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Rationale/Alternative</w:t>
            </w:r>
          </w:p>
        </w:tc>
        <w:tc>
          <w:tcPr>
            <w:tcW w:w="4135" w:type="dxa"/>
          </w:tcPr>
          <w:p w14:paraId="17372CF3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tr w:rsidR="00941DB4" w:rsidRPr="006547A2" w14:paraId="5ACE4110" w14:textId="77777777" w:rsidTr="001C6EB3">
        <w:tc>
          <w:tcPr>
            <w:tcW w:w="2520" w:type="dxa"/>
            <w:shd w:val="clear" w:color="auto" w:fill="auto"/>
          </w:tcPr>
          <w:p w14:paraId="0F50BBF8" w14:textId="3D83635C" w:rsidR="00941DB4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Adalimuman-aacf</w:t>
            </w:r>
            <w:proofErr w:type="spellEnd"/>
            <w:r w:rsidRPr="00EA0D64">
              <w:rPr>
                <w:rFonts w:ascii="Verdana" w:hAnsi="Verdana" w:cs="Arial"/>
              </w:rPr>
              <w:t xml:space="preserve"> 40mg/0.8 mL prefilled syringe for various inflammatory conditions (</w:t>
            </w:r>
            <w:proofErr w:type="spellStart"/>
            <w:r w:rsidRPr="00EA0D64">
              <w:rPr>
                <w:rFonts w:ascii="Verdana" w:hAnsi="Verdana" w:cs="Arial"/>
              </w:rPr>
              <w:t>Idacio</w:t>
            </w:r>
            <w:proofErr w:type="spellEnd"/>
            <w:r w:rsidRPr="00EA0D64">
              <w:rPr>
                <w:rFonts w:ascii="Verdana" w:hAnsi="Verdana" w:cs="Arial"/>
              </w:rPr>
              <w:t xml:space="preserve"> biosimilar)</w:t>
            </w:r>
          </w:p>
        </w:tc>
        <w:tc>
          <w:tcPr>
            <w:tcW w:w="4262" w:type="dxa"/>
            <w:shd w:val="clear" w:color="auto" w:fill="auto"/>
          </w:tcPr>
          <w:p w14:paraId="2747E42C" w14:textId="1B8C3636" w:rsidR="00941DB4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 xml:space="preserve">A low-WAC version of the biosimilar </w:t>
            </w:r>
            <w:proofErr w:type="spellStart"/>
            <w:r w:rsidRPr="00EA0D64">
              <w:rPr>
                <w:rFonts w:ascii="Verdana" w:hAnsi="Verdana"/>
              </w:rPr>
              <w:t>Idacio</w:t>
            </w:r>
            <w:proofErr w:type="spellEnd"/>
            <w:r w:rsidRPr="00EA0D64">
              <w:rPr>
                <w:rFonts w:ascii="Verdana" w:hAnsi="Verdana"/>
              </w:rPr>
              <w:t xml:space="preserve"> has launched</w:t>
            </w:r>
          </w:p>
        </w:tc>
        <w:tc>
          <w:tcPr>
            <w:tcW w:w="4135" w:type="dxa"/>
            <w:shd w:val="clear" w:color="auto" w:fill="auto"/>
          </w:tcPr>
          <w:p w14:paraId="0C0945FA" w14:textId="55E23A66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 w:rsidR="00EA0D64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941DB4" w:rsidRPr="006547A2" w14:paraId="153DEB7E" w14:textId="77777777" w:rsidTr="001C6EB3">
        <w:tc>
          <w:tcPr>
            <w:tcW w:w="2520" w:type="dxa"/>
            <w:shd w:val="clear" w:color="auto" w:fill="auto"/>
          </w:tcPr>
          <w:p w14:paraId="0FDA7E69" w14:textId="0DE466D3" w:rsidR="00941DB4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Lucemyra</w:t>
            </w:r>
            <w:proofErr w:type="spellEnd"/>
            <w:r w:rsidRPr="00EA0D64">
              <w:rPr>
                <w:rFonts w:ascii="Verdana" w:hAnsi="Verdana" w:cs="Arial"/>
              </w:rPr>
              <w:t xml:space="preserve"> (lofexidine) 0.18 mg tablet for opioid withdrawal symptoms</w:t>
            </w:r>
          </w:p>
        </w:tc>
        <w:tc>
          <w:tcPr>
            <w:tcW w:w="4262" w:type="dxa"/>
            <w:shd w:val="clear" w:color="auto" w:fill="auto"/>
          </w:tcPr>
          <w:p w14:paraId="4C302C2E" w14:textId="779F4AFA" w:rsidR="00941DB4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 xml:space="preserve">A single manufacturer has released a generic alternative to </w:t>
            </w:r>
            <w:proofErr w:type="spellStart"/>
            <w:r w:rsidRPr="00EA0D64">
              <w:rPr>
                <w:rFonts w:ascii="Verdana" w:hAnsi="Verdana"/>
              </w:rPr>
              <w:t>Lucemyra</w:t>
            </w:r>
            <w:proofErr w:type="spellEnd"/>
          </w:p>
        </w:tc>
        <w:tc>
          <w:tcPr>
            <w:tcW w:w="4135" w:type="dxa"/>
            <w:shd w:val="clear" w:color="auto" w:fill="auto"/>
          </w:tcPr>
          <w:p w14:paraId="54C56EEC" w14:textId="2B4E7685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AF03AD" w:rsidRPr="006547A2"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>, HIX: NF</w:t>
            </w:r>
          </w:p>
          <w:p w14:paraId="6F1BB6BA" w14:textId="370E23BA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941DB4" w:rsidRPr="006547A2" w14:paraId="466104D0" w14:textId="77777777" w:rsidTr="001C6EB3">
        <w:tc>
          <w:tcPr>
            <w:tcW w:w="2520" w:type="dxa"/>
            <w:shd w:val="clear" w:color="auto" w:fill="auto"/>
          </w:tcPr>
          <w:p w14:paraId="471AAA8F" w14:textId="725E476A" w:rsidR="00941DB4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Sprycel</w:t>
            </w:r>
            <w:proofErr w:type="spellEnd"/>
            <w:r w:rsidRPr="00EA0D64">
              <w:rPr>
                <w:rFonts w:ascii="Verdana" w:hAnsi="Verdana" w:cs="Arial"/>
              </w:rPr>
              <w:t xml:space="preserve"> (</w:t>
            </w:r>
            <w:proofErr w:type="spellStart"/>
            <w:r w:rsidRPr="00EA0D64">
              <w:rPr>
                <w:rFonts w:ascii="Verdana" w:hAnsi="Verdana" w:cs="Arial"/>
              </w:rPr>
              <w:t>dasatinib</w:t>
            </w:r>
            <w:proofErr w:type="spellEnd"/>
            <w:r w:rsidRPr="00EA0D64">
              <w:rPr>
                <w:rFonts w:ascii="Verdana" w:hAnsi="Verdana" w:cs="Arial"/>
              </w:rPr>
              <w:t xml:space="preserve">) 20, 50, 70, 80, 100, &amp; 140 mg tablets for chronic myeloid leukemia and acute </w:t>
            </w:r>
            <w:r w:rsidRPr="00EA0D64">
              <w:rPr>
                <w:rFonts w:ascii="Verdana" w:hAnsi="Verdana" w:cs="Arial"/>
              </w:rPr>
              <w:lastRenderedPageBreak/>
              <w:t>lymphoblastic leukemia</w:t>
            </w:r>
          </w:p>
        </w:tc>
        <w:tc>
          <w:tcPr>
            <w:tcW w:w="4262" w:type="dxa"/>
            <w:shd w:val="clear" w:color="auto" w:fill="auto"/>
          </w:tcPr>
          <w:p w14:paraId="650E1CBE" w14:textId="508AADCB" w:rsidR="00941DB4" w:rsidRPr="006547A2" w:rsidRDefault="00EA0D64" w:rsidP="00941DB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lastRenderedPageBreak/>
              <w:t xml:space="preserve">Generic </w:t>
            </w:r>
            <w:proofErr w:type="spellStart"/>
            <w:r w:rsidRPr="00EA0D64">
              <w:rPr>
                <w:rFonts w:ascii="Verdana" w:hAnsi="Verdana"/>
              </w:rPr>
              <w:t>dasatinib</w:t>
            </w:r>
            <w:proofErr w:type="spellEnd"/>
            <w:r w:rsidRPr="00EA0D64">
              <w:rPr>
                <w:rFonts w:ascii="Verdana" w:hAnsi="Verdana"/>
              </w:rPr>
              <w:t xml:space="preserve"> (</w:t>
            </w:r>
            <w:proofErr w:type="spellStart"/>
            <w:r w:rsidRPr="00EA0D64">
              <w:rPr>
                <w:rFonts w:ascii="Verdana" w:hAnsi="Verdana"/>
              </w:rPr>
              <w:t>Sprycel</w:t>
            </w:r>
            <w:proofErr w:type="spellEnd"/>
            <w:r w:rsidRPr="00EA0D64">
              <w:rPr>
                <w:rFonts w:ascii="Verdana" w:hAnsi="Verdana"/>
              </w:rPr>
              <w:t xml:space="preserve"> </w:t>
            </w:r>
            <w:proofErr w:type="spellStart"/>
            <w:r w:rsidRPr="00EA0D64">
              <w:rPr>
                <w:rFonts w:ascii="Verdana" w:hAnsi="Verdana"/>
              </w:rPr>
              <w:t>equiv</w:t>
            </w:r>
            <w:proofErr w:type="spellEnd"/>
            <w:r w:rsidRPr="00EA0D64">
              <w:rPr>
                <w:rFonts w:ascii="Verdana" w:hAnsi="Verdana"/>
              </w:rPr>
              <w:t>) has launched with a WAC price reduction of 30-32% compared to the branded agent</w:t>
            </w:r>
          </w:p>
        </w:tc>
        <w:tc>
          <w:tcPr>
            <w:tcW w:w="4135" w:type="dxa"/>
            <w:shd w:val="clear" w:color="auto" w:fill="auto"/>
          </w:tcPr>
          <w:p w14:paraId="4B78095A" w14:textId="513DA165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EA0D64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F</w:t>
            </w:r>
          </w:p>
          <w:p w14:paraId="69719B55" w14:textId="547AA93D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941DB4" w:rsidRPr="006547A2" w14:paraId="097E7538" w14:textId="77777777" w:rsidTr="001C6EB3">
        <w:tc>
          <w:tcPr>
            <w:tcW w:w="2520" w:type="dxa"/>
            <w:shd w:val="clear" w:color="auto" w:fill="auto"/>
          </w:tcPr>
          <w:p w14:paraId="3DEBB748" w14:textId="33F75EC9" w:rsidR="00941DB4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Oxtellar</w:t>
            </w:r>
            <w:proofErr w:type="spellEnd"/>
            <w:r w:rsidRPr="000D701C">
              <w:rPr>
                <w:rFonts w:ascii="Verdana" w:hAnsi="Verdana" w:cs="Arial"/>
                <w:b/>
                <w:bCs/>
              </w:rPr>
              <w:t xml:space="preserve"> XR</w:t>
            </w:r>
            <w:r w:rsidRPr="00EA0D64">
              <w:rPr>
                <w:rFonts w:ascii="Verdana" w:hAnsi="Verdana" w:cs="Arial"/>
              </w:rPr>
              <w:t xml:space="preserve"> (oxcarbazepine) 150, 300, &amp; 600 mg ER tablets for partial-onset seizures</w:t>
            </w:r>
          </w:p>
        </w:tc>
        <w:tc>
          <w:tcPr>
            <w:tcW w:w="4262" w:type="dxa"/>
            <w:shd w:val="clear" w:color="auto" w:fill="auto"/>
          </w:tcPr>
          <w:p w14:paraId="16E31F99" w14:textId="7192F39F" w:rsidR="00941DB4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>Generic oxcarbazepine extended-release tablet has launched with a minimal 9% price discount to the branded product</w:t>
            </w:r>
          </w:p>
        </w:tc>
        <w:tc>
          <w:tcPr>
            <w:tcW w:w="4135" w:type="dxa"/>
            <w:shd w:val="clear" w:color="auto" w:fill="auto"/>
          </w:tcPr>
          <w:p w14:paraId="421AC44C" w14:textId="28481659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Medicaid: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F, HIX: NF</w:t>
            </w:r>
          </w:p>
          <w:p w14:paraId="223FED47" w14:textId="1D8FD373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941DB4" w:rsidRPr="006547A2" w14:paraId="22504A76" w14:textId="77777777" w:rsidTr="001C6EB3">
        <w:tc>
          <w:tcPr>
            <w:tcW w:w="2520" w:type="dxa"/>
            <w:shd w:val="clear" w:color="auto" w:fill="auto"/>
          </w:tcPr>
          <w:p w14:paraId="69BBF7BE" w14:textId="4F004762" w:rsidR="00941DB4" w:rsidRPr="006547A2" w:rsidRDefault="00EA0D64" w:rsidP="00941D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Adalimumab-</w:t>
            </w:r>
            <w:proofErr w:type="spellStart"/>
            <w:r w:rsidRPr="000D701C">
              <w:rPr>
                <w:rFonts w:ascii="Verdana" w:hAnsi="Verdana" w:cs="Arial"/>
                <w:b/>
                <w:bCs/>
              </w:rPr>
              <w:t>aacf</w:t>
            </w:r>
            <w:proofErr w:type="spellEnd"/>
            <w:r w:rsidRPr="00EA0D64">
              <w:rPr>
                <w:rFonts w:ascii="Verdana" w:hAnsi="Verdana" w:cs="Arial"/>
              </w:rPr>
              <w:t xml:space="preserve"> 40/ mg/0.8 mL autoinjector starter kits for inflammatory conditions (</w:t>
            </w:r>
            <w:proofErr w:type="spellStart"/>
            <w:r w:rsidRPr="00EA0D64">
              <w:rPr>
                <w:rFonts w:ascii="Verdana" w:hAnsi="Verdana" w:cs="Arial"/>
              </w:rPr>
              <w:t>Idacio</w:t>
            </w:r>
            <w:proofErr w:type="spellEnd"/>
            <w:r w:rsidRPr="00EA0D64">
              <w:rPr>
                <w:rFonts w:ascii="Verdana" w:hAnsi="Verdana" w:cs="Arial"/>
              </w:rPr>
              <w:t xml:space="preserve"> biosimilar)</w:t>
            </w:r>
          </w:p>
        </w:tc>
        <w:tc>
          <w:tcPr>
            <w:tcW w:w="4262" w:type="dxa"/>
            <w:shd w:val="clear" w:color="auto" w:fill="auto"/>
          </w:tcPr>
          <w:p w14:paraId="6B1C1B92" w14:textId="5B23EC81" w:rsidR="00941DB4" w:rsidRPr="006547A2" w:rsidRDefault="00EA0D64" w:rsidP="00EA0D64">
            <w:pPr>
              <w:rPr>
                <w:rFonts w:ascii="Verdana" w:hAnsi="Verdana"/>
              </w:rPr>
            </w:pPr>
            <w:proofErr w:type="spellStart"/>
            <w:r w:rsidRPr="00EA0D64">
              <w:rPr>
                <w:rFonts w:ascii="Verdana" w:hAnsi="Verdana"/>
              </w:rPr>
              <w:t>Adalimuman-aacf</w:t>
            </w:r>
            <w:proofErr w:type="spellEnd"/>
            <w:r w:rsidRPr="00EA0D64">
              <w:rPr>
                <w:rFonts w:ascii="Verdana" w:hAnsi="Verdana"/>
              </w:rPr>
              <w:t xml:space="preserve"> (generically named </w:t>
            </w:r>
            <w:proofErr w:type="spellStart"/>
            <w:r w:rsidRPr="00EA0D64">
              <w:rPr>
                <w:rFonts w:ascii="Verdana" w:hAnsi="Verdana"/>
              </w:rPr>
              <w:t>Idacio</w:t>
            </w:r>
            <w:proofErr w:type="spellEnd"/>
            <w:r w:rsidRPr="00EA0D64">
              <w:rPr>
                <w:rFonts w:ascii="Verdana" w:hAnsi="Verdana"/>
              </w:rPr>
              <w:t>) has launched with 2 new starter kits</w:t>
            </w:r>
          </w:p>
        </w:tc>
        <w:tc>
          <w:tcPr>
            <w:tcW w:w="4135" w:type="dxa"/>
            <w:shd w:val="clear" w:color="auto" w:fill="auto"/>
          </w:tcPr>
          <w:p w14:paraId="03D4C6F3" w14:textId="5FEB45E3" w:rsidR="00AB22E9" w:rsidRPr="006547A2" w:rsidRDefault="00AB22E9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Medicaid: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HIX: </w:t>
            </w:r>
            <w:r w:rsidR="00EA0D6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  <w:p w14:paraId="305AB14B" w14:textId="77777777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AF03AD" w:rsidRPr="006547A2" w14:paraId="35A63BF4" w14:textId="77777777" w:rsidTr="001C6EB3">
        <w:tc>
          <w:tcPr>
            <w:tcW w:w="2520" w:type="dxa"/>
            <w:shd w:val="clear" w:color="auto" w:fill="auto"/>
          </w:tcPr>
          <w:p w14:paraId="1A12B963" w14:textId="75583652" w:rsidR="00AF03AD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Tazorac</w:t>
            </w:r>
            <w:proofErr w:type="spellEnd"/>
            <w:r w:rsidRPr="00EA0D64">
              <w:rPr>
                <w:rFonts w:ascii="Verdana" w:hAnsi="Verdana" w:cs="Arial"/>
              </w:rPr>
              <w:t xml:space="preserve"> (tazarotene) 0.05% cream for plaque psoriasis &amp; acne</w:t>
            </w:r>
          </w:p>
        </w:tc>
        <w:tc>
          <w:tcPr>
            <w:tcW w:w="4262" w:type="dxa"/>
            <w:shd w:val="clear" w:color="auto" w:fill="auto"/>
          </w:tcPr>
          <w:p w14:paraId="5B5EBAC5" w14:textId="1261F178" w:rsidR="00AF03AD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>The generic is currently available at a modest discount vs the branded product. 0.1% cream is on all formularies</w:t>
            </w:r>
          </w:p>
        </w:tc>
        <w:tc>
          <w:tcPr>
            <w:tcW w:w="4135" w:type="dxa"/>
            <w:shd w:val="clear" w:color="auto" w:fill="auto"/>
          </w:tcPr>
          <w:p w14:paraId="4423D9C0" w14:textId="42994212" w:rsidR="00AF03AD" w:rsidRPr="006547A2" w:rsidRDefault="00AF03AD" w:rsidP="00AF03AD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 w:rsidR="00876AB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 w:rsidR="00876AB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Medicaid: </w:t>
            </w:r>
            <w:r w:rsidR="00876AB4">
              <w:rPr>
                <w:rFonts w:ascii="Verdana" w:hAnsi="Verdana"/>
              </w:rPr>
              <w:t>NP</w:t>
            </w:r>
            <w:r w:rsidRPr="006547A2">
              <w:rPr>
                <w:rFonts w:ascii="Verdana" w:hAnsi="Verdana"/>
              </w:rPr>
              <w:t xml:space="preserve">, HIX: </w:t>
            </w:r>
            <w:r w:rsidR="00876AB4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  <w:p w14:paraId="5C2FED0F" w14:textId="77777777" w:rsidR="00AF03AD" w:rsidRPr="006547A2" w:rsidRDefault="00AF03AD" w:rsidP="00AB22E9">
            <w:pPr>
              <w:rPr>
                <w:rFonts w:ascii="Verdana" w:hAnsi="Verdana"/>
              </w:rPr>
            </w:pPr>
          </w:p>
        </w:tc>
      </w:tr>
      <w:tr w:rsidR="00AF03AD" w:rsidRPr="006547A2" w14:paraId="5BFD520E" w14:textId="77777777" w:rsidTr="001C6EB3">
        <w:tc>
          <w:tcPr>
            <w:tcW w:w="2520" w:type="dxa"/>
            <w:shd w:val="clear" w:color="auto" w:fill="auto"/>
          </w:tcPr>
          <w:p w14:paraId="008BA9B7" w14:textId="2A53BFD2" w:rsidR="00AF03AD" w:rsidRPr="006547A2" w:rsidRDefault="00EA0D64" w:rsidP="00941D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Solu-</w:t>
            </w:r>
            <w:proofErr w:type="spellStart"/>
            <w:r w:rsidRPr="000D701C">
              <w:rPr>
                <w:rFonts w:ascii="Verdana" w:hAnsi="Verdana" w:cs="Arial"/>
                <w:b/>
                <w:bCs/>
              </w:rPr>
              <w:t>cortef</w:t>
            </w:r>
            <w:proofErr w:type="spellEnd"/>
            <w:r w:rsidRPr="00EA0D64">
              <w:rPr>
                <w:rFonts w:ascii="Verdana" w:hAnsi="Verdana" w:cs="Arial"/>
              </w:rPr>
              <w:t xml:space="preserve"> (hydrocortisone) 100 mg injection anti-inflammatory</w:t>
            </w:r>
          </w:p>
        </w:tc>
        <w:tc>
          <w:tcPr>
            <w:tcW w:w="4262" w:type="dxa"/>
            <w:shd w:val="clear" w:color="auto" w:fill="auto"/>
          </w:tcPr>
          <w:p w14:paraId="08FA9272" w14:textId="3C3B06CC" w:rsidR="00AF03AD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>Brand currently covered. Add generic alongside</w:t>
            </w:r>
          </w:p>
        </w:tc>
        <w:tc>
          <w:tcPr>
            <w:tcW w:w="4135" w:type="dxa"/>
            <w:shd w:val="clear" w:color="auto" w:fill="auto"/>
          </w:tcPr>
          <w:p w14:paraId="0FD0E567" w14:textId="3DA3AC6D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876AB4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F</w:t>
            </w:r>
          </w:p>
        </w:tc>
      </w:tr>
      <w:tr w:rsidR="00AF03AD" w:rsidRPr="006547A2" w14:paraId="1EE88C20" w14:textId="77777777" w:rsidTr="001C6EB3">
        <w:tc>
          <w:tcPr>
            <w:tcW w:w="2520" w:type="dxa"/>
            <w:shd w:val="clear" w:color="auto" w:fill="auto"/>
          </w:tcPr>
          <w:p w14:paraId="347F1E2C" w14:textId="51CFDE20" w:rsidR="00AF03AD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Sandostatin</w:t>
            </w:r>
            <w:proofErr w:type="spellEnd"/>
            <w:r w:rsidRPr="000D701C">
              <w:rPr>
                <w:rFonts w:ascii="Verdana" w:hAnsi="Verdana" w:cs="Arial"/>
                <w:b/>
                <w:bCs/>
              </w:rPr>
              <w:t xml:space="preserve"> LAR Depot</w:t>
            </w:r>
            <w:r w:rsidRPr="00EA0D64">
              <w:rPr>
                <w:rFonts w:ascii="Verdana" w:hAnsi="Verdana" w:cs="Arial"/>
              </w:rPr>
              <w:t xml:space="preserve"> (</w:t>
            </w:r>
            <w:proofErr w:type="spellStart"/>
            <w:r w:rsidRPr="00EA0D64">
              <w:rPr>
                <w:rFonts w:ascii="Verdana" w:hAnsi="Verdana" w:cs="Arial"/>
              </w:rPr>
              <w:t>ocreotide</w:t>
            </w:r>
            <w:proofErr w:type="spellEnd"/>
            <w:r w:rsidRPr="00EA0D64">
              <w:rPr>
                <w:rFonts w:ascii="Verdana" w:hAnsi="Verdana" w:cs="Arial"/>
              </w:rPr>
              <w:t>) 20 mg &amp; 30 mg IM kit for acromegaly &amp; severe diarrhea with certain tumors</w:t>
            </w:r>
          </w:p>
        </w:tc>
        <w:tc>
          <w:tcPr>
            <w:tcW w:w="4262" w:type="dxa"/>
            <w:shd w:val="clear" w:color="auto" w:fill="auto"/>
          </w:tcPr>
          <w:p w14:paraId="0BB53CB4" w14:textId="414C4B99" w:rsidR="00AF03AD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 xml:space="preserve">Brand Kit not covered. Other </w:t>
            </w:r>
            <w:proofErr w:type="spellStart"/>
            <w:r w:rsidRPr="00EA0D64">
              <w:rPr>
                <w:rFonts w:ascii="Verdana" w:hAnsi="Verdana"/>
              </w:rPr>
              <w:t>octretide</w:t>
            </w:r>
            <w:proofErr w:type="spellEnd"/>
            <w:r w:rsidRPr="00EA0D64">
              <w:rPr>
                <w:rFonts w:ascii="Verdana" w:hAnsi="Verdana"/>
              </w:rPr>
              <w:t xml:space="preserve"> products are on formulary</w:t>
            </w:r>
          </w:p>
        </w:tc>
        <w:tc>
          <w:tcPr>
            <w:tcW w:w="4135" w:type="dxa"/>
            <w:shd w:val="clear" w:color="auto" w:fill="auto"/>
          </w:tcPr>
          <w:p w14:paraId="42E67A24" w14:textId="6466C8BB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AF03AD" w:rsidRPr="006547A2" w14:paraId="7C515A9A" w14:textId="77777777" w:rsidTr="001C6EB3">
        <w:tc>
          <w:tcPr>
            <w:tcW w:w="2520" w:type="dxa"/>
            <w:shd w:val="clear" w:color="auto" w:fill="auto"/>
          </w:tcPr>
          <w:p w14:paraId="612B53F0" w14:textId="5B35A69C" w:rsidR="00AF03AD" w:rsidRPr="006547A2" w:rsidRDefault="00EA0D64" w:rsidP="00941D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Stendra</w:t>
            </w:r>
            <w:proofErr w:type="spellEnd"/>
            <w:r w:rsidRPr="00EA0D64">
              <w:rPr>
                <w:rFonts w:ascii="Verdana" w:hAnsi="Verdana" w:cs="Arial"/>
              </w:rPr>
              <w:t xml:space="preserve"> (avanafil) 50, 100, &amp; 200 mg tablets for erectile dysfunction (ED)</w:t>
            </w:r>
          </w:p>
        </w:tc>
        <w:tc>
          <w:tcPr>
            <w:tcW w:w="4262" w:type="dxa"/>
            <w:shd w:val="clear" w:color="auto" w:fill="auto"/>
          </w:tcPr>
          <w:p w14:paraId="563FF88D" w14:textId="31D0A337" w:rsidR="00AF03AD" w:rsidRPr="006547A2" w:rsidRDefault="00EA0D64" w:rsidP="00EA0D64">
            <w:pPr>
              <w:rPr>
                <w:rFonts w:ascii="Verdana" w:hAnsi="Verdana"/>
              </w:rPr>
            </w:pPr>
            <w:r w:rsidRPr="00EA0D64">
              <w:rPr>
                <w:rFonts w:ascii="Verdana" w:hAnsi="Verdana"/>
              </w:rPr>
              <w:t>A single manufacturer has launched a generic avanafil product. As this product is for ED which is an excluded benefit</w:t>
            </w:r>
          </w:p>
        </w:tc>
        <w:tc>
          <w:tcPr>
            <w:tcW w:w="4135" w:type="dxa"/>
            <w:shd w:val="clear" w:color="auto" w:fill="auto"/>
          </w:tcPr>
          <w:p w14:paraId="6F2F154F" w14:textId="53FD1FB2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</w:tbl>
    <w:p w14:paraId="1D317A5C" w14:textId="77777777" w:rsidR="00296E12" w:rsidRPr="006547A2" w:rsidRDefault="00296E12" w:rsidP="00E32DDA">
      <w:pPr>
        <w:rPr>
          <w:rFonts w:ascii="Verdana" w:eastAsia="Times New Roman" w:hAnsi="Verdana" w:cs="Arial"/>
          <w:b/>
        </w:rPr>
      </w:pPr>
      <w:bookmarkStart w:id="1" w:name="_Hlk65757423"/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255A16" w:rsidRPr="006547A2" w14:paraId="20EA93DD" w14:textId="77777777" w:rsidTr="00B6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299A5639" w14:textId="3A6725C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eastAsia="Times New Roman" w:hAnsi="Verdana" w:cs="Arial"/>
              </w:rPr>
              <w:t xml:space="preserve">New or Expanded Formulations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89"/>
        <w:gridCol w:w="4232"/>
        <w:gridCol w:w="4096"/>
      </w:tblGrid>
      <w:tr w:rsidR="00255A16" w:rsidRPr="006547A2" w14:paraId="0BA472AD" w14:textId="77777777" w:rsidTr="00876AB4">
        <w:trPr>
          <w:trHeight w:val="566"/>
        </w:trPr>
        <w:tc>
          <w:tcPr>
            <w:tcW w:w="2589" w:type="dxa"/>
          </w:tcPr>
          <w:p w14:paraId="62373FE1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4232" w:type="dxa"/>
          </w:tcPr>
          <w:p w14:paraId="7C9A7639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  <w:b/>
                <w:bCs/>
              </w:rPr>
            </w:pPr>
            <w:r w:rsidRPr="006547A2">
              <w:rPr>
                <w:rFonts w:ascii="Verdana" w:eastAsia="Times New Roman" w:hAnsi="Verdana" w:cs="Arial"/>
                <w:b/>
                <w:bCs/>
              </w:rPr>
              <w:t>Rationale/Alternative</w:t>
            </w:r>
          </w:p>
        </w:tc>
        <w:tc>
          <w:tcPr>
            <w:tcW w:w="4096" w:type="dxa"/>
          </w:tcPr>
          <w:p w14:paraId="4CB66098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</w:rPr>
              <w:t>Recommendation</w:t>
            </w:r>
          </w:p>
        </w:tc>
      </w:tr>
      <w:tr w:rsidR="00255A16" w:rsidRPr="006547A2" w14:paraId="2DEE45DB" w14:textId="77777777" w:rsidTr="00876AB4">
        <w:tc>
          <w:tcPr>
            <w:tcW w:w="2589" w:type="dxa"/>
            <w:shd w:val="clear" w:color="auto" w:fill="auto"/>
          </w:tcPr>
          <w:p w14:paraId="3ED006F4" w14:textId="1AB89768" w:rsidR="00255A16" w:rsidRPr="00876AB4" w:rsidRDefault="00876AB4" w:rsidP="00B65A41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Entresto sprinkle</w:t>
            </w:r>
            <w:r w:rsidRPr="00876AB4">
              <w:rPr>
                <w:rFonts w:ascii="Verdana" w:hAnsi="Verdana" w:cs="Arial"/>
              </w:rPr>
              <w:t xml:space="preserve"> (sacubitril-valsartan) 6-6 mg &amp; 15-16 mg oral pellets capsule for heart failure to support pediatric dosing</w:t>
            </w:r>
          </w:p>
        </w:tc>
        <w:tc>
          <w:tcPr>
            <w:tcW w:w="4232" w:type="dxa"/>
            <w:shd w:val="clear" w:color="auto" w:fill="auto"/>
          </w:tcPr>
          <w:p w14:paraId="2F5851F7" w14:textId="66832898" w:rsidR="00255A16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2-4x the cost of tablets which prescribing information gives instructions on how to prepare a suspension with the tablets</w:t>
            </w:r>
          </w:p>
        </w:tc>
        <w:tc>
          <w:tcPr>
            <w:tcW w:w="4096" w:type="dxa"/>
            <w:shd w:val="clear" w:color="auto" w:fill="auto"/>
          </w:tcPr>
          <w:p w14:paraId="6A4D2E18" w14:textId="0FDB1F66" w:rsidR="00255A16" w:rsidRPr="006547A2" w:rsidRDefault="00255A16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P, HIX: NF</w:t>
            </w:r>
          </w:p>
        </w:tc>
      </w:tr>
      <w:tr w:rsidR="00876AB4" w:rsidRPr="006547A2" w14:paraId="112DD9CA" w14:textId="77777777" w:rsidTr="00876AB4">
        <w:tc>
          <w:tcPr>
            <w:tcW w:w="2589" w:type="dxa"/>
            <w:shd w:val="clear" w:color="auto" w:fill="auto"/>
          </w:tcPr>
          <w:p w14:paraId="5F98A3E2" w14:textId="58E1B1A0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lastRenderedPageBreak/>
              <w:t>Crexont</w:t>
            </w:r>
            <w:proofErr w:type="spellEnd"/>
            <w:r w:rsidRPr="00876AB4">
              <w:rPr>
                <w:rFonts w:ascii="Verdana" w:hAnsi="Verdana" w:cs="Arial"/>
              </w:rPr>
              <w:t xml:space="preserve"> (carbidopa/levodopa) 35-140 mg, 52.5-210 mg, 70-280 mg, &amp; 87.5-350 mg ER capsules for Parkinson’s disease</w:t>
            </w:r>
          </w:p>
        </w:tc>
        <w:tc>
          <w:tcPr>
            <w:tcW w:w="4232" w:type="dxa"/>
            <w:shd w:val="clear" w:color="auto" w:fill="auto"/>
          </w:tcPr>
          <w:p w14:paraId="7DD3FADA" w14:textId="76031362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High-cost branded carbidopa/levodopa</w:t>
            </w:r>
          </w:p>
        </w:tc>
        <w:tc>
          <w:tcPr>
            <w:tcW w:w="4096" w:type="dxa"/>
            <w:shd w:val="clear" w:color="auto" w:fill="auto"/>
          </w:tcPr>
          <w:p w14:paraId="484B70A9" w14:textId="769F0AB2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876AB4" w:rsidRPr="006547A2" w14:paraId="2727C4DE" w14:textId="77777777" w:rsidTr="00876AB4">
        <w:tc>
          <w:tcPr>
            <w:tcW w:w="2589" w:type="dxa"/>
            <w:shd w:val="clear" w:color="auto" w:fill="auto"/>
          </w:tcPr>
          <w:p w14:paraId="4F625DB5" w14:textId="03349694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Mydcombi</w:t>
            </w:r>
            <w:proofErr w:type="spellEnd"/>
            <w:r w:rsidRPr="00876AB4">
              <w:rPr>
                <w:rFonts w:ascii="Verdana" w:hAnsi="Verdana" w:cs="Arial"/>
              </w:rPr>
              <w:t xml:space="preserve"> (tropicamide-phenylephrine) 1-2.5% ophthalmic solution for pupil dilation</w:t>
            </w:r>
          </w:p>
        </w:tc>
        <w:tc>
          <w:tcPr>
            <w:tcW w:w="4232" w:type="dxa"/>
            <w:shd w:val="clear" w:color="auto" w:fill="auto"/>
          </w:tcPr>
          <w:p w14:paraId="0BB1CFDC" w14:textId="0F3ECA8E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In clinic product for pupil dilation</w:t>
            </w:r>
          </w:p>
        </w:tc>
        <w:tc>
          <w:tcPr>
            <w:tcW w:w="4096" w:type="dxa"/>
            <w:shd w:val="clear" w:color="auto" w:fill="auto"/>
          </w:tcPr>
          <w:p w14:paraId="3F7FDC00" w14:textId="322C0F92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 xml:space="preserve">, HIX: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60F4F90A" w14:textId="77777777" w:rsidTr="00876AB4">
        <w:tc>
          <w:tcPr>
            <w:tcW w:w="2589" w:type="dxa"/>
            <w:shd w:val="clear" w:color="auto" w:fill="auto"/>
          </w:tcPr>
          <w:p w14:paraId="109B646E" w14:textId="382687B2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Retevmo</w:t>
            </w:r>
            <w:proofErr w:type="spellEnd"/>
            <w:r w:rsidRPr="00876AB4">
              <w:rPr>
                <w:rFonts w:ascii="Verdana" w:hAnsi="Verdana" w:cs="Arial"/>
              </w:rPr>
              <w:t xml:space="preserve"> (</w:t>
            </w:r>
            <w:proofErr w:type="spellStart"/>
            <w:r w:rsidRPr="00876AB4">
              <w:rPr>
                <w:rFonts w:ascii="Verdana" w:hAnsi="Verdana" w:cs="Arial"/>
              </w:rPr>
              <w:t>selpercatinib</w:t>
            </w:r>
            <w:proofErr w:type="spellEnd"/>
            <w:r w:rsidRPr="00876AB4">
              <w:rPr>
                <w:rFonts w:ascii="Verdana" w:hAnsi="Verdana" w:cs="Arial"/>
              </w:rPr>
              <w:t>) 40, 80, 120, &amp; 160 mg tablets for RET mutated cancer</w:t>
            </w:r>
          </w:p>
        </w:tc>
        <w:tc>
          <w:tcPr>
            <w:tcW w:w="4232" w:type="dxa"/>
            <w:shd w:val="clear" w:color="auto" w:fill="auto"/>
          </w:tcPr>
          <w:p w14:paraId="34689B44" w14:textId="012B4B28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tablet formulary joins capsules</w:t>
            </w:r>
          </w:p>
        </w:tc>
        <w:tc>
          <w:tcPr>
            <w:tcW w:w="4096" w:type="dxa"/>
            <w:shd w:val="clear" w:color="auto" w:fill="auto"/>
          </w:tcPr>
          <w:p w14:paraId="2C19483C" w14:textId="3824A42A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F, HIX: F</w:t>
            </w:r>
          </w:p>
        </w:tc>
      </w:tr>
      <w:tr w:rsidR="00876AB4" w:rsidRPr="006547A2" w14:paraId="0809018C" w14:textId="77777777" w:rsidTr="00876AB4">
        <w:tc>
          <w:tcPr>
            <w:tcW w:w="2589" w:type="dxa"/>
            <w:shd w:val="clear" w:color="auto" w:fill="auto"/>
          </w:tcPr>
          <w:p w14:paraId="21C98F4D" w14:textId="118762E6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Zepbound</w:t>
            </w:r>
            <w:proofErr w:type="spellEnd"/>
            <w:r w:rsidRPr="00876AB4">
              <w:rPr>
                <w:rFonts w:ascii="Verdana" w:hAnsi="Verdana" w:cs="Arial"/>
              </w:rPr>
              <w:t xml:space="preserve"> (</w:t>
            </w:r>
            <w:proofErr w:type="spellStart"/>
            <w:r w:rsidRPr="00876AB4">
              <w:rPr>
                <w:rFonts w:ascii="Verdana" w:hAnsi="Verdana" w:cs="Arial"/>
              </w:rPr>
              <w:t>tirzepatide</w:t>
            </w:r>
            <w:proofErr w:type="spellEnd"/>
            <w:r w:rsidRPr="00876AB4">
              <w:rPr>
                <w:rFonts w:ascii="Verdana" w:hAnsi="Verdana" w:cs="Arial"/>
              </w:rPr>
              <w:t>) 2.5 mg/0.5 mL &amp; 5 mg/0.5 mL SQ vials for weight management</w:t>
            </w:r>
          </w:p>
        </w:tc>
        <w:tc>
          <w:tcPr>
            <w:tcW w:w="4232" w:type="dxa"/>
            <w:shd w:val="clear" w:color="auto" w:fill="auto"/>
          </w:tcPr>
          <w:p w14:paraId="4C8B5324" w14:textId="2A74F02C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vial formulation only available through Lilly Direct</w:t>
            </w:r>
          </w:p>
        </w:tc>
        <w:tc>
          <w:tcPr>
            <w:tcW w:w="4096" w:type="dxa"/>
            <w:shd w:val="clear" w:color="auto" w:fill="auto"/>
          </w:tcPr>
          <w:p w14:paraId="18016193" w14:textId="70BABA11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NF, HIX: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13911519" w14:textId="77777777" w:rsidTr="00876AB4">
        <w:tc>
          <w:tcPr>
            <w:tcW w:w="2589" w:type="dxa"/>
            <w:shd w:val="clear" w:color="auto" w:fill="auto"/>
          </w:tcPr>
          <w:p w14:paraId="270EBAFE" w14:textId="399E9F77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Vigafyde</w:t>
            </w:r>
            <w:proofErr w:type="spellEnd"/>
            <w:r w:rsidRPr="00876AB4">
              <w:rPr>
                <w:rFonts w:ascii="Verdana" w:hAnsi="Verdana" w:cs="Arial"/>
              </w:rPr>
              <w:t xml:space="preserve"> (vigabatrin) 100 mg/mL oral solution for infantile spasms</w:t>
            </w:r>
          </w:p>
        </w:tc>
        <w:tc>
          <w:tcPr>
            <w:tcW w:w="4232" w:type="dxa"/>
            <w:shd w:val="clear" w:color="auto" w:fill="auto"/>
          </w:tcPr>
          <w:p w14:paraId="7B28633C" w14:textId="3962D0BC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oral solution</w:t>
            </w:r>
          </w:p>
        </w:tc>
        <w:tc>
          <w:tcPr>
            <w:tcW w:w="4096" w:type="dxa"/>
            <w:shd w:val="clear" w:color="auto" w:fill="auto"/>
          </w:tcPr>
          <w:p w14:paraId="5773E124" w14:textId="6351B728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NF, HIX: NF</w:t>
            </w:r>
          </w:p>
        </w:tc>
      </w:tr>
      <w:tr w:rsidR="00876AB4" w:rsidRPr="006547A2" w14:paraId="3DEBBCBD" w14:textId="77777777" w:rsidTr="00876AB4">
        <w:tc>
          <w:tcPr>
            <w:tcW w:w="2589" w:type="dxa"/>
            <w:shd w:val="clear" w:color="auto" w:fill="auto"/>
          </w:tcPr>
          <w:p w14:paraId="1D08328A" w14:textId="4DD33B73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Vabysmo</w:t>
            </w:r>
            <w:proofErr w:type="spellEnd"/>
            <w:r w:rsidRPr="00876AB4">
              <w:rPr>
                <w:rFonts w:ascii="Verdana" w:hAnsi="Verdana" w:cs="Arial"/>
              </w:rPr>
              <w:t xml:space="preserve"> (</w:t>
            </w:r>
            <w:proofErr w:type="spellStart"/>
            <w:r w:rsidRPr="00876AB4">
              <w:rPr>
                <w:rFonts w:ascii="Verdana" w:hAnsi="Verdana" w:cs="Arial"/>
              </w:rPr>
              <w:t>faricimab</w:t>
            </w:r>
            <w:proofErr w:type="spellEnd"/>
            <w:r w:rsidRPr="00876AB4">
              <w:rPr>
                <w:rFonts w:ascii="Verdana" w:hAnsi="Verdana" w:cs="Arial"/>
              </w:rPr>
              <w:t xml:space="preserve">) 6 mg/0.05 mL intravitreal prefilled syringe for Wet </w:t>
            </w:r>
            <w:proofErr w:type="spellStart"/>
            <w:r w:rsidRPr="00876AB4">
              <w:rPr>
                <w:rFonts w:ascii="Verdana" w:hAnsi="Verdana" w:cs="Arial"/>
              </w:rPr>
              <w:t>nAMD</w:t>
            </w:r>
            <w:proofErr w:type="spellEnd"/>
            <w:r w:rsidRPr="00876AB4">
              <w:rPr>
                <w:rFonts w:ascii="Verdana" w:hAnsi="Verdana" w:cs="Arial"/>
              </w:rPr>
              <w:t>, and macular edema</w:t>
            </w:r>
          </w:p>
        </w:tc>
        <w:tc>
          <w:tcPr>
            <w:tcW w:w="4232" w:type="dxa"/>
            <w:shd w:val="clear" w:color="auto" w:fill="auto"/>
          </w:tcPr>
          <w:p w14:paraId="5E879233" w14:textId="0FDD311F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Medical Drug</w:t>
            </w:r>
          </w:p>
        </w:tc>
        <w:tc>
          <w:tcPr>
            <w:tcW w:w="4096" w:type="dxa"/>
            <w:shd w:val="clear" w:color="auto" w:fill="auto"/>
          </w:tcPr>
          <w:p w14:paraId="1200A5F7" w14:textId="411F0510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Medicaid: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HIX: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1C0D0A18" w14:textId="77777777" w:rsidTr="00876AB4">
        <w:tc>
          <w:tcPr>
            <w:tcW w:w="2589" w:type="dxa"/>
            <w:shd w:val="clear" w:color="auto" w:fill="auto"/>
          </w:tcPr>
          <w:p w14:paraId="2FAC7839" w14:textId="02041C1B" w:rsidR="00876AB4" w:rsidRPr="006547A2" w:rsidRDefault="00876AB4" w:rsidP="00876A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Glimepiride</w:t>
            </w:r>
            <w:r w:rsidRPr="00876AB4">
              <w:rPr>
                <w:rFonts w:ascii="Verdana" w:hAnsi="Verdana" w:cs="Arial"/>
              </w:rPr>
              <w:t xml:space="preserve"> 3mg tablet for type 2 diabetes mellitus</w:t>
            </w:r>
          </w:p>
        </w:tc>
        <w:tc>
          <w:tcPr>
            <w:tcW w:w="4232" w:type="dxa"/>
            <w:shd w:val="clear" w:color="auto" w:fill="auto"/>
          </w:tcPr>
          <w:p w14:paraId="068CF62E" w14:textId="541E7C0F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High-cost strength approx. 42x the cost of 3 x 1mg tabs</w:t>
            </w:r>
          </w:p>
        </w:tc>
        <w:tc>
          <w:tcPr>
            <w:tcW w:w="4096" w:type="dxa"/>
            <w:shd w:val="clear" w:color="auto" w:fill="auto"/>
          </w:tcPr>
          <w:p w14:paraId="68CD0386" w14:textId="0C3D9CFD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Medicaid: NF, HIX: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213E30D5" w14:textId="77777777" w:rsidTr="00876AB4">
        <w:tc>
          <w:tcPr>
            <w:tcW w:w="2589" w:type="dxa"/>
            <w:shd w:val="clear" w:color="auto" w:fill="auto"/>
          </w:tcPr>
          <w:p w14:paraId="43A1A4DD" w14:textId="183AC970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Onyda</w:t>
            </w:r>
            <w:proofErr w:type="spellEnd"/>
            <w:r w:rsidRPr="000D701C">
              <w:rPr>
                <w:rFonts w:ascii="Verdana" w:hAnsi="Verdana" w:cs="Arial"/>
                <w:b/>
                <w:bCs/>
              </w:rPr>
              <w:t xml:space="preserve"> XR</w:t>
            </w:r>
            <w:r w:rsidRPr="00876AB4">
              <w:rPr>
                <w:rFonts w:ascii="Verdana" w:hAnsi="Verdana" w:cs="Arial"/>
              </w:rPr>
              <w:t xml:space="preserve"> (clonidine) 0.1 mg/mL ER suspension for ADHD</w:t>
            </w:r>
          </w:p>
        </w:tc>
        <w:tc>
          <w:tcPr>
            <w:tcW w:w="4232" w:type="dxa"/>
            <w:shd w:val="clear" w:color="auto" w:fill="auto"/>
          </w:tcPr>
          <w:p w14:paraId="2B3E8E4C" w14:textId="4765478E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High-cost suspension approx. 40x the cost of tablets</w:t>
            </w:r>
          </w:p>
        </w:tc>
        <w:tc>
          <w:tcPr>
            <w:tcW w:w="4096" w:type="dxa"/>
            <w:shd w:val="clear" w:color="auto" w:fill="auto"/>
          </w:tcPr>
          <w:p w14:paraId="19E5D58D" w14:textId="3FB6B4E5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 xml:space="preserve">, HIX: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3F73FA08" w14:textId="77777777" w:rsidTr="00876AB4">
        <w:tc>
          <w:tcPr>
            <w:tcW w:w="2589" w:type="dxa"/>
            <w:shd w:val="clear" w:color="auto" w:fill="auto"/>
          </w:tcPr>
          <w:p w14:paraId="74C27BEC" w14:textId="6D14EA87" w:rsidR="00876AB4" w:rsidRPr="006547A2" w:rsidRDefault="00876AB4" w:rsidP="00876A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Potassium chloride ER</w:t>
            </w:r>
            <w:r w:rsidRPr="00876AB4">
              <w:rPr>
                <w:rFonts w:ascii="Verdana" w:hAnsi="Verdana" w:cs="Arial"/>
              </w:rPr>
              <w:t xml:space="preserve"> 15 </w:t>
            </w:r>
            <w:proofErr w:type="spellStart"/>
            <w:r w:rsidRPr="00876AB4">
              <w:rPr>
                <w:rFonts w:ascii="Verdana" w:hAnsi="Verdana" w:cs="Arial"/>
              </w:rPr>
              <w:t>mEq</w:t>
            </w:r>
            <w:proofErr w:type="spellEnd"/>
            <w:r w:rsidRPr="00876AB4">
              <w:rPr>
                <w:rFonts w:ascii="Verdana" w:hAnsi="Verdana" w:cs="Arial"/>
              </w:rPr>
              <w:t xml:space="preserve"> tablet for hypokalemia</w:t>
            </w:r>
          </w:p>
        </w:tc>
        <w:tc>
          <w:tcPr>
            <w:tcW w:w="4232" w:type="dxa"/>
            <w:shd w:val="clear" w:color="auto" w:fill="auto"/>
          </w:tcPr>
          <w:p w14:paraId="641902AB" w14:textId="28203F69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 xml:space="preserve">New branded strength. Generic strength (8, 10 and 20 </w:t>
            </w:r>
            <w:proofErr w:type="spellStart"/>
            <w:r w:rsidRPr="00876AB4">
              <w:rPr>
                <w:rFonts w:ascii="Verdana" w:hAnsi="Verdana"/>
              </w:rPr>
              <w:t>mEq</w:t>
            </w:r>
            <w:proofErr w:type="spellEnd"/>
            <w:r w:rsidRPr="00876AB4">
              <w:rPr>
                <w:rFonts w:ascii="Verdana" w:hAnsi="Verdana"/>
              </w:rPr>
              <w:t xml:space="preserve">) </w:t>
            </w:r>
            <w:proofErr w:type="gramStart"/>
            <w:r w:rsidRPr="00876AB4">
              <w:rPr>
                <w:rFonts w:ascii="Verdana" w:hAnsi="Verdana"/>
              </w:rPr>
              <w:t>are</w:t>
            </w:r>
            <w:proofErr w:type="gramEnd"/>
            <w:r w:rsidRPr="00876AB4">
              <w:rPr>
                <w:rFonts w:ascii="Verdana" w:hAnsi="Verdana"/>
              </w:rPr>
              <w:t xml:space="preserve"> covered</w:t>
            </w:r>
          </w:p>
        </w:tc>
        <w:tc>
          <w:tcPr>
            <w:tcW w:w="4096" w:type="dxa"/>
            <w:shd w:val="clear" w:color="auto" w:fill="auto"/>
          </w:tcPr>
          <w:p w14:paraId="2E8856BA" w14:textId="17305475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 xml:space="preserve">, HIX: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12071E5F" w14:textId="77777777" w:rsidTr="00876AB4">
        <w:tc>
          <w:tcPr>
            <w:tcW w:w="2589" w:type="dxa"/>
            <w:shd w:val="clear" w:color="auto" w:fill="auto"/>
          </w:tcPr>
          <w:p w14:paraId="7829FC68" w14:textId="331DE2F5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lastRenderedPageBreak/>
              <w:t>Veltassa</w:t>
            </w:r>
            <w:proofErr w:type="spellEnd"/>
            <w:r w:rsidRPr="00876AB4">
              <w:rPr>
                <w:rFonts w:ascii="Verdana" w:hAnsi="Verdana" w:cs="Arial"/>
              </w:rPr>
              <w:t xml:space="preserve"> (</w:t>
            </w:r>
            <w:proofErr w:type="spellStart"/>
            <w:r w:rsidRPr="00876AB4">
              <w:rPr>
                <w:rFonts w:ascii="Verdana" w:hAnsi="Verdana" w:cs="Arial"/>
              </w:rPr>
              <w:t>patiromer</w:t>
            </w:r>
            <w:proofErr w:type="spellEnd"/>
            <w:r w:rsidRPr="00876AB4">
              <w:rPr>
                <w:rFonts w:ascii="Verdana" w:hAnsi="Verdana" w:cs="Arial"/>
              </w:rPr>
              <w:t>) 1g packet for hyperkalemia</w:t>
            </w:r>
          </w:p>
        </w:tc>
        <w:tc>
          <w:tcPr>
            <w:tcW w:w="4232" w:type="dxa"/>
            <w:shd w:val="clear" w:color="auto" w:fill="auto"/>
          </w:tcPr>
          <w:p w14:paraId="7DC522E1" w14:textId="40D81A17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lower strength to accommodate pediatric dosing</w:t>
            </w:r>
          </w:p>
        </w:tc>
        <w:tc>
          <w:tcPr>
            <w:tcW w:w="4096" w:type="dxa"/>
            <w:shd w:val="clear" w:color="auto" w:fill="auto"/>
          </w:tcPr>
          <w:p w14:paraId="0ED810BF" w14:textId="021C43E4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876AB4" w:rsidRPr="006547A2" w14:paraId="441BB526" w14:textId="77777777" w:rsidTr="00876AB4">
        <w:tc>
          <w:tcPr>
            <w:tcW w:w="2589" w:type="dxa"/>
            <w:shd w:val="clear" w:color="auto" w:fill="auto"/>
          </w:tcPr>
          <w:p w14:paraId="2B9C35FC" w14:textId="2BA33A20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Femlyv</w:t>
            </w:r>
            <w:proofErr w:type="spellEnd"/>
            <w:r w:rsidRPr="00876AB4">
              <w:rPr>
                <w:rFonts w:ascii="Verdana" w:hAnsi="Verdana" w:cs="Arial"/>
              </w:rPr>
              <w:t xml:space="preserve"> (norethindrone acetate-ethinyl estradiol) 1 mg-20 mcg orally disintegrating tablet for oral contraception</w:t>
            </w:r>
          </w:p>
        </w:tc>
        <w:tc>
          <w:tcPr>
            <w:tcW w:w="4232" w:type="dxa"/>
            <w:shd w:val="clear" w:color="auto" w:fill="auto"/>
          </w:tcPr>
          <w:p w14:paraId="060219D2" w14:textId="77777777" w:rsidR="00876AB4" w:rsidRPr="00876AB4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ODT dosage form</w:t>
            </w:r>
          </w:p>
          <w:p w14:paraId="22CFD938" w14:textId="19A54DA8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Mandatory $0 coverage for IFP and Medicaid due to the ACA</w:t>
            </w:r>
          </w:p>
        </w:tc>
        <w:tc>
          <w:tcPr>
            <w:tcW w:w="4096" w:type="dxa"/>
            <w:shd w:val="clear" w:color="auto" w:fill="auto"/>
          </w:tcPr>
          <w:p w14:paraId="1ACCF690" w14:textId="74F3E967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F, Medicaid: F, HIX: F</w:t>
            </w:r>
          </w:p>
        </w:tc>
      </w:tr>
      <w:tr w:rsidR="00876AB4" w:rsidRPr="006547A2" w14:paraId="602D44F3" w14:textId="77777777" w:rsidTr="00876AB4">
        <w:tc>
          <w:tcPr>
            <w:tcW w:w="2589" w:type="dxa"/>
            <w:shd w:val="clear" w:color="auto" w:fill="auto"/>
          </w:tcPr>
          <w:p w14:paraId="37AD2500" w14:textId="30D8D0C8" w:rsidR="00876AB4" w:rsidRPr="006547A2" w:rsidRDefault="00876AB4" w:rsidP="00876A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Tremfya</w:t>
            </w:r>
            <w:r w:rsidRPr="00876AB4">
              <w:rPr>
                <w:rFonts w:ascii="Verdana" w:hAnsi="Verdana" w:cs="Arial"/>
              </w:rPr>
              <w:t xml:space="preserve"> (</w:t>
            </w:r>
            <w:proofErr w:type="spellStart"/>
            <w:r w:rsidRPr="00876AB4">
              <w:rPr>
                <w:rFonts w:ascii="Verdana" w:hAnsi="Verdana" w:cs="Arial"/>
              </w:rPr>
              <w:t>guselkumab</w:t>
            </w:r>
            <w:proofErr w:type="spellEnd"/>
            <w:r w:rsidRPr="00876AB4">
              <w:rPr>
                <w:rFonts w:ascii="Verdana" w:hAnsi="Verdana" w:cs="Arial"/>
              </w:rPr>
              <w:t>) 200 mg/2 mL SQ prefilled syringe &amp; autoinjector pen for ulcerative colitis</w:t>
            </w:r>
          </w:p>
        </w:tc>
        <w:tc>
          <w:tcPr>
            <w:tcW w:w="4232" w:type="dxa"/>
            <w:shd w:val="clear" w:color="auto" w:fill="auto"/>
          </w:tcPr>
          <w:p w14:paraId="0871309E" w14:textId="44EE5440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200 mg preparations of Tremfya have launched in conjunction with the recent approval for the treatment of ulcerative colitis</w:t>
            </w:r>
          </w:p>
        </w:tc>
        <w:tc>
          <w:tcPr>
            <w:tcW w:w="4096" w:type="dxa"/>
            <w:shd w:val="clear" w:color="auto" w:fill="auto"/>
          </w:tcPr>
          <w:p w14:paraId="7962D90A" w14:textId="668EB6B7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F, Medicaid: F, HIX: F</w:t>
            </w:r>
          </w:p>
        </w:tc>
      </w:tr>
      <w:tr w:rsidR="00876AB4" w:rsidRPr="006547A2" w14:paraId="413C099F" w14:textId="77777777" w:rsidTr="00876AB4">
        <w:tc>
          <w:tcPr>
            <w:tcW w:w="2589" w:type="dxa"/>
            <w:shd w:val="clear" w:color="auto" w:fill="auto"/>
          </w:tcPr>
          <w:p w14:paraId="7E52A175" w14:textId="78B1B2BB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Dolobid</w:t>
            </w:r>
            <w:proofErr w:type="spellEnd"/>
            <w:r w:rsidRPr="00876AB4">
              <w:rPr>
                <w:rFonts w:ascii="Verdana" w:hAnsi="Verdana" w:cs="Arial"/>
              </w:rPr>
              <w:t xml:space="preserve"> (diflunisal) 250 mg tablet for pain</w:t>
            </w:r>
          </w:p>
        </w:tc>
        <w:tc>
          <w:tcPr>
            <w:tcW w:w="4232" w:type="dxa"/>
            <w:shd w:val="clear" w:color="auto" w:fill="auto"/>
          </w:tcPr>
          <w:p w14:paraId="4308F632" w14:textId="7BB5E9FF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High-cost strength. 500 mg generic on formulary</w:t>
            </w:r>
          </w:p>
        </w:tc>
        <w:tc>
          <w:tcPr>
            <w:tcW w:w="4096" w:type="dxa"/>
            <w:shd w:val="clear" w:color="auto" w:fill="auto"/>
          </w:tcPr>
          <w:p w14:paraId="49D9BD32" w14:textId="55553A9F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876AB4" w:rsidRPr="006547A2" w14:paraId="19B63FA6" w14:textId="77777777" w:rsidTr="00876AB4">
        <w:tc>
          <w:tcPr>
            <w:tcW w:w="2589" w:type="dxa"/>
            <w:shd w:val="clear" w:color="auto" w:fill="auto"/>
          </w:tcPr>
          <w:p w14:paraId="399946F3" w14:textId="6CE52AB7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Tuqap</w:t>
            </w:r>
            <w:proofErr w:type="spellEnd"/>
            <w:r w:rsidRPr="00876AB4">
              <w:rPr>
                <w:rFonts w:ascii="Verdana" w:hAnsi="Verdana" w:cs="Arial"/>
              </w:rPr>
              <w:t xml:space="preserve"> (</w:t>
            </w:r>
            <w:proofErr w:type="spellStart"/>
            <w:r w:rsidRPr="00876AB4">
              <w:rPr>
                <w:rFonts w:ascii="Verdana" w:hAnsi="Verdana" w:cs="Arial"/>
              </w:rPr>
              <w:t>capivasertib</w:t>
            </w:r>
            <w:proofErr w:type="spellEnd"/>
            <w:r w:rsidRPr="00876AB4">
              <w:rPr>
                <w:rFonts w:ascii="Verdana" w:hAnsi="Verdana" w:cs="Arial"/>
              </w:rPr>
              <w:t>) 160 mg &amp; 200 mg therapy pack for breast cancer</w:t>
            </w:r>
          </w:p>
        </w:tc>
        <w:tc>
          <w:tcPr>
            <w:tcW w:w="4232" w:type="dxa"/>
            <w:shd w:val="clear" w:color="auto" w:fill="auto"/>
          </w:tcPr>
          <w:p w14:paraId="4843AD2C" w14:textId="11D4F7E7" w:rsidR="00876AB4" w:rsidRPr="006547A2" w:rsidRDefault="00876AB4" w:rsidP="00876AB4">
            <w:pPr>
              <w:tabs>
                <w:tab w:val="left" w:pos="1125"/>
              </w:tabs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Therapy pack may allow for more convenient administration considering 4 days on and 3 days off dosing schedule</w:t>
            </w:r>
          </w:p>
        </w:tc>
        <w:tc>
          <w:tcPr>
            <w:tcW w:w="4096" w:type="dxa"/>
            <w:shd w:val="clear" w:color="auto" w:fill="auto"/>
          </w:tcPr>
          <w:p w14:paraId="6757431B" w14:textId="67D9F1DE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F, HIX: F</w:t>
            </w:r>
          </w:p>
        </w:tc>
      </w:tr>
      <w:tr w:rsidR="00876AB4" w:rsidRPr="006547A2" w14:paraId="5CB11D2F" w14:textId="77777777" w:rsidTr="00876AB4">
        <w:tc>
          <w:tcPr>
            <w:tcW w:w="2589" w:type="dxa"/>
            <w:shd w:val="clear" w:color="auto" w:fill="auto"/>
          </w:tcPr>
          <w:p w14:paraId="716722D9" w14:textId="3DDE269F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Lumryz</w:t>
            </w:r>
            <w:proofErr w:type="spellEnd"/>
            <w:r w:rsidRPr="00876AB4">
              <w:rPr>
                <w:rFonts w:ascii="Verdana" w:hAnsi="Verdana" w:cs="Arial"/>
              </w:rPr>
              <w:t xml:space="preserve"> (sodium </w:t>
            </w:r>
            <w:proofErr w:type="spellStart"/>
            <w:r w:rsidRPr="00876AB4">
              <w:rPr>
                <w:rFonts w:ascii="Verdana" w:hAnsi="Verdana" w:cs="Arial"/>
              </w:rPr>
              <w:t>oxybate</w:t>
            </w:r>
            <w:proofErr w:type="spellEnd"/>
            <w:r w:rsidRPr="00876AB4">
              <w:rPr>
                <w:rFonts w:ascii="Verdana" w:hAnsi="Verdana" w:cs="Arial"/>
              </w:rPr>
              <w:t>) starter pack containing 4.5, 6, &amp; 7 gm packets for ER suspension for narcolepsy</w:t>
            </w:r>
          </w:p>
        </w:tc>
        <w:tc>
          <w:tcPr>
            <w:tcW w:w="4232" w:type="dxa"/>
            <w:shd w:val="clear" w:color="auto" w:fill="auto"/>
          </w:tcPr>
          <w:p w14:paraId="1CB0E0D6" w14:textId="71F2D95F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 xml:space="preserve">Starter pack is now available as a convenient option for patients up titrating their dosage. UCare does not cover </w:t>
            </w:r>
            <w:proofErr w:type="spellStart"/>
            <w:r w:rsidRPr="00876AB4">
              <w:rPr>
                <w:rFonts w:ascii="Verdana" w:hAnsi="Verdana"/>
              </w:rPr>
              <w:t>Lumryz</w:t>
            </w:r>
            <w:proofErr w:type="spellEnd"/>
          </w:p>
        </w:tc>
        <w:tc>
          <w:tcPr>
            <w:tcW w:w="4096" w:type="dxa"/>
            <w:shd w:val="clear" w:color="auto" w:fill="auto"/>
          </w:tcPr>
          <w:p w14:paraId="48AE2AEA" w14:textId="74FFF515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0D701C"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876AB4" w:rsidRPr="006547A2" w14:paraId="0A75C191" w14:textId="77777777" w:rsidTr="00876AB4">
        <w:tc>
          <w:tcPr>
            <w:tcW w:w="2589" w:type="dxa"/>
            <w:shd w:val="clear" w:color="auto" w:fill="auto"/>
          </w:tcPr>
          <w:p w14:paraId="0C5566BE" w14:textId="44558BA8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t>Tecentriq</w:t>
            </w:r>
            <w:proofErr w:type="spellEnd"/>
            <w:r w:rsidRPr="000D701C"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 w:rsidRPr="000D701C">
              <w:rPr>
                <w:rFonts w:ascii="Verdana" w:hAnsi="Verdana" w:cs="Arial"/>
                <w:b/>
                <w:bCs/>
              </w:rPr>
              <w:t>Hybreza</w:t>
            </w:r>
            <w:proofErr w:type="spellEnd"/>
            <w:r w:rsidRPr="00876AB4">
              <w:rPr>
                <w:rFonts w:ascii="Verdana" w:hAnsi="Verdana" w:cs="Arial"/>
              </w:rPr>
              <w:t xml:space="preserve"> (atezolizumab-hyaluronidase) 1,875 mg-30,000 units/15 mL SQ vial for various cancers</w:t>
            </w:r>
          </w:p>
        </w:tc>
        <w:tc>
          <w:tcPr>
            <w:tcW w:w="4232" w:type="dxa"/>
            <w:shd w:val="clear" w:color="auto" w:fill="auto"/>
          </w:tcPr>
          <w:p w14:paraId="43533675" w14:textId="2D307939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Medical Drug</w:t>
            </w:r>
          </w:p>
        </w:tc>
        <w:tc>
          <w:tcPr>
            <w:tcW w:w="4096" w:type="dxa"/>
            <w:shd w:val="clear" w:color="auto" w:fill="auto"/>
          </w:tcPr>
          <w:p w14:paraId="6A5CF026" w14:textId="7BD87DC4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876AB4" w:rsidRPr="006547A2" w14:paraId="5063ADA6" w14:textId="77777777" w:rsidTr="00876AB4">
        <w:tc>
          <w:tcPr>
            <w:tcW w:w="2589" w:type="dxa"/>
            <w:shd w:val="clear" w:color="auto" w:fill="auto"/>
          </w:tcPr>
          <w:p w14:paraId="53B4598E" w14:textId="748C7A1B" w:rsidR="00876AB4" w:rsidRPr="006547A2" w:rsidRDefault="00876AB4" w:rsidP="00876A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 xml:space="preserve">Ocrevus </w:t>
            </w:r>
            <w:proofErr w:type="spellStart"/>
            <w:r w:rsidRPr="000D701C">
              <w:rPr>
                <w:rFonts w:ascii="Verdana" w:hAnsi="Verdana" w:cs="Arial"/>
                <w:b/>
                <w:bCs/>
              </w:rPr>
              <w:t>Zunovo</w:t>
            </w:r>
            <w:proofErr w:type="spellEnd"/>
            <w:r w:rsidRPr="00876AB4">
              <w:rPr>
                <w:rFonts w:ascii="Verdana" w:hAnsi="Verdana" w:cs="Arial"/>
              </w:rPr>
              <w:t xml:space="preserve"> (ocrelizumab-hyaluronidase) 920 mg-23,000 units/23 mL SQ vial for multiple sclerosis (MS)</w:t>
            </w:r>
          </w:p>
        </w:tc>
        <w:tc>
          <w:tcPr>
            <w:tcW w:w="4232" w:type="dxa"/>
            <w:shd w:val="clear" w:color="auto" w:fill="auto"/>
          </w:tcPr>
          <w:p w14:paraId="48DC7E84" w14:textId="40A385CA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Medical Drug</w:t>
            </w:r>
          </w:p>
        </w:tc>
        <w:tc>
          <w:tcPr>
            <w:tcW w:w="4096" w:type="dxa"/>
            <w:shd w:val="clear" w:color="auto" w:fill="auto"/>
          </w:tcPr>
          <w:p w14:paraId="4DEE774D" w14:textId="53114ADC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</w:t>
            </w:r>
            <w:r w:rsidR="000D701C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PPO: </w:t>
            </w:r>
            <w:r w:rsidR="000D701C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Medicaid: </w:t>
            </w:r>
            <w:r w:rsidR="000D701C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 xml:space="preserve">F, HIX: </w:t>
            </w:r>
            <w:r w:rsidR="000D701C">
              <w:rPr>
                <w:rFonts w:ascii="Verdana" w:hAnsi="Verdana"/>
              </w:rPr>
              <w:t>N</w:t>
            </w:r>
            <w:r w:rsidRPr="006547A2">
              <w:rPr>
                <w:rFonts w:ascii="Verdana" w:hAnsi="Verdana"/>
              </w:rPr>
              <w:t>F</w:t>
            </w:r>
          </w:p>
        </w:tc>
      </w:tr>
      <w:tr w:rsidR="00876AB4" w:rsidRPr="006547A2" w14:paraId="64848D22" w14:textId="77777777" w:rsidTr="00876AB4">
        <w:tc>
          <w:tcPr>
            <w:tcW w:w="2589" w:type="dxa"/>
            <w:shd w:val="clear" w:color="auto" w:fill="auto"/>
          </w:tcPr>
          <w:p w14:paraId="38F53992" w14:textId="29547649" w:rsidR="00876AB4" w:rsidRPr="006547A2" w:rsidRDefault="00876AB4" w:rsidP="00876AB4">
            <w:pPr>
              <w:rPr>
                <w:rFonts w:ascii="Verdana" w:hAnsi="Verdana" w:cs="Arial"/>
              </w:rPr>
            </w:pPr>
            <w:proofErr w:type="spellStart"/>
            <w:r w:rsidRPr="000D701C">
              <w:rPr>
                <w:rFonts w:ascii="Verdana" w:hAnsi="Verdana" w:cs="Arial"/>
                <w:b/>
                <w:bCs/>
              </w:rPr>
              <w:lastRenderedPageBreak/>
              <w:t>Zituvimet</w:t>
            </w:r>
            <w:proofErr w:type="spellEnd"/>
            <w:r w:rsidRPr="00876AB4">
              <w:rPr>
                <w:rFonts w:ascii="Verdana" w:hAnsi="Verdana" w:cs="Arial"/>
              </w:rPr>
              <w:t xml:space="preserve"> (sitagliptin-metformin) 50-500 mg &amp; 50-1000 mg tablet and </w:t>
            </w:r>
            <w:proofErr w:type="spellStart"/>
            <w:r w:rsidRPr="00876AB4">
              <w:rPr>
                <w:rFonts w:ascii="Verdana" w:hAnsi="Verdana" w:cs="Arial"/>
              </w:rPr>
              <w:t>Zituvimet</w:t>
            </w:r>
            <w:proofErr w:type="spellEnd"/>
            <w:r w:rsidRPr="00876AB4">
              <w:rPr>
                <w:rFonts w:ascii="Verdana" w:hAnsi="Verdana" w:cs="Arial"/>
              </w:rPr>
              <w:t xml:space="preserve"> XR (sitagliptin-metformin ER) 50-500 mg, 50-1000 mg, &amp; 100-1000 mg tablets for type 2 diabetes</w:t>
            </w:r>
          </w:p>
        </w:tc>
        <w:tc>
          <w:tcPr>
            <w:tcW w:w="4232" w:type="dxa"/>
            <w:shd w:val="clear" w:color="auto" w:fill="auto"/>
          </w:tcPr>
          <w:p w14:paraId="32AE7B1E" w14:textId="58EB717F" w:rsidR="00876AB4" w:rsidRPr="006547A2" w:rsidRDefault="00876AB4" w:rsidP="00876AB4">
            <w:pPr>
              <w:rPr>
                <w:rFonts w:ascii="Verdana" w:hAnsi="Verdana"/>
              </w:rPr>
            </w:pPr>
            <w:proofErr w:type="gramStart"/>
            <w:r w:rsidRPr="00876AB4">
              <w:rPr>
                <w:rFonts w:ascii="Verdana" w:hAnsi="Verdana"/>
              </w:rPr>
              <w:t>High-cost</w:t>
            </w:r>
            <w:proofErr w:type="gramEnd"/>
            <w:r w:rsidRPr="00876AB4">
              <w:rPr>
                <w:rFonts w:ascii="Verdana" w:hAnsi="Verdana"/>
              </w:rPr>
              <w:t xml:space="preserve"> branded generic. True generics expected </w:t>
            </w:r>
            <w:proofErr w:type="gramStart"/>
            <w:r w:rsidRPr="00876AB4">
              <w:rPr>
                <w:rFonts w:ascii="Verdana" w:hAnsi="Verdana"/>
              </w:rPr>
              <w:t>in the near future</w:t>
            </w:r>
            <w:proofErr w:type="gramEnd"/>
          </w:p>
        </w:tc>
        <w:tc>
          <w:tcPr>
            <w:tcW w:w="4096" w:type="dxa"/>
            <w:shd w:val="clear" w:color="auto" w:fill="auto"/>
          </w:tcPr>
          <w:p w14:paraId="6AB60902" w14:textId="16FC9655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876AB4" w:rsidRPr="006547A2" w14:paraId="4133C6BE" w14:textId="77777777" w:rsidTr="00876AB4">
        <w:tc>
          <w:tcPr>
            <w:tcW w:w="2589" w:type="dxa"/>
            <w:shd w:val="clear" w:color="auto" w:fill="auto"/>
          </w:tcPr>
          <w:p w14:paraId="63D05C63" w14:textId="0063016F" w:rsidR="00876AB4" w:rsidRPr="006547A2" w:rsidRDefault="00876AB4" w:rsidP="00876A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Freestyle Libre 2-</w:t>
            </w:r>
            <w:proofErr w:type="gramStart"/>
            <w:r w:rsidRPr="000D701C">
              <w:rPr>
                <w:rFonts w:ascii="Verdana" w:hAnsi="Verdana" w:cs="Arial"/>
                <w:b/>
                <w:bCs/>
              </w:rPr>
              <w:t>Plus</w:t>
            </w:r>
            <w:proofErr w:type="gramEnd"/>
            <w:r w:rsidRPr="000D701C">
              <w:rPr>
                <w:rFonts w:ascii="Verdana" w:hAnsi="Verdana" w:cs="Arial"/>
                <w:b/>
                <w:bCs/>
              </w:rPr>
              <w:t xml:space="preserve"> Sensor</w:t>
            </w:r>
            <w:r w:rsidRPr="00876AB4">
              <w:rPr>
                <w:rFonts w:ascii="Verdana" w:hAnsi="Verdana" w:cs="Arial"/>
              </w:rPr>
              <w:t xml:space="preserve"> for glucose monitoring</w:t>
            </w:r>
          </w:p>
        </w:tc>
        <w:tc>
          <w:tcPr>
            <w:tcW w:w="4232" w:type="dxa"/>
            <w:shd w:val="clear" w:color="auto" w:fill="auto"/>
          </w:tcPr>
          <w:p w14:paraId="4B751C67" w14:textId="45B90DDC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1 day longer wear time compared to Libre 2</w:t>
            </w:r>
          </w:p>
        </w:tc>
        <w:tc>
          <w:tcPr>
            <w:tcW w:w="4096" w:type="dxa"/>
            <w:shd w:val="clear" w:color="auto" w:fill="auto"/>
          </w:tcPr>
          <w:p w14:paraId="66CF7E79" w14:textId="41839726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0D701C">
              <w:rPr>
                <w:rFonts w:ascii="Verdana" w:hAnsi="Verdana"/>
              </w:rPr>
              <w:t>P</w:t>
            </w:r>
            <w:r w:rsidRPr="006547A2">
              <w:rPr>
                <w:rFonts w:ascii="Verdana" w:hAnsi="Verdana"/>
              </w:rPr>
              <w:t>, HIX: F</w:t>
            </w:r>
          </w:p>
        </w:tc>
      </w:tr>
      <w:tr w:rsidR="00876AB4" w:rsidRPr="006547A2" w14:paraId="1EA87370" w14:textId="77777777" w:rsidTr="00876AB4">
        <w:tc>
          <w:tcPr>
            <w:tcW w:w="2589" w:type="dxa"/>
            <w:shd w:val="clear" w:color="auto" w:fill="auto"/>
          </w:tcPr>
          <w:p w14:paraId="23890079" w14:textId="18FE2D47" w:rsidR="00876AB4" w:rsidRPr="006547A2" w:rsidRDefault="00876AB4" w:rsidP="00876AB4">
            <w:pPr>
              <w:rPr>
                <w:rFonts w:ascii="Verdana" w:hAnsi="Verdana" w:cs="Arial"/>
              </w:rPr>
            </w:pPr>
            <w:r w:rsidRPr="000D701C">
              <w:rPr>
                <w:rFonts w:ascii="Verdana" w:hAnsi="Verdana" w:cs="Arial"/>
                <w:b/>
                <w:bCs/>
              </w:rPr>
              <w:t>Carbamazepine</w:t>
            </w:r>
            <w:r w:rsidRPr="00876AB4">
              <w:rPr>
                <w:rFonts w:ascii="Verdana" w:hAnsi="Verdana" w:cs="Arial"/>
              </w:rPr>
              <w:t xml:space="preserve"> 200 mg chewable tablet for epilepsy</w:t>
            </w:r>
          </w:p>
        </w:tc>
        <w:tc>
          <w:tcPr>
            <w:tcW w:w="4232" w:type="dxa"/>
            <w:shd w:val="clear" w:color="auto" w:fill="auto"/>
          </w:tcPr>
          <w:p w14:paraId="59E3D894" w14:textId="16888ECE" w:rsidR="00876AB4" w:rsidRPr="006547A2" w:rsidRDefault="00876AB4" w:rsidP="00876AB4">
            <w:pPr>
              <w:rPr>
                <w:rFonts w:ascii="Verdana" w:hAnsi="Verdana"/>
              </w:rPr>
            </w:pPr>
            <w:r w:rsidRPr="00876AB4">
              <w:rPr>
                <w:rFonts w:ascii="Verdana" w:hAnsi="Verdana"/>
              </w:rPr>
              <w:t>New strength of chew tab. More expensive than 2x 100 mg chew</w:t>
            </w:r>
          </w:p>
        </w:tc>
        <w:tc>
          <w:tcPr>
            <w:tcW w:w="4096" w:type="dxa"/>
            <w:shd w:val="clear" w:color="auto" w:fill="auto"/>
          </w:tcPr>
          <w:p w14:paraId="14F88F91" w14:textId="6F0913DD" w:rsidR="00876AB4" w:rsidRPr="006547A2" w:rsidRDefault="00876AB4" w:rsidP="00876A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0D701C">
              <w:rPr>
                <w:rFonts w:ascii="Verdana" w:hAnsi="Verdana"/>
              </w:rPr>
              <w:t>P</w:t>
            </w:r>
            <w:r w:rsidRPr="006547A2">
              <w:rPr>
                <w:rFonts w:ascii="Verdana" w:hAnsi="Verdana"/>
              </w:rPr>
              <w:t>, HIX: NF</w:t>
            </w:r>
          </w:p>
        </w:tc>
      </w:tr>
    </w:tbl>
    <w:p w14:paraId="36A9C293" w14:textId="77777777" w:rsidR="00255A16" w:rsidRPr="00852F8C" w:rsidRDefault="00255A1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1"/>
          <w:p w14:paraId="661BF950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Additional Items Reviewed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852F8C" w:rsidRDefault="00822707" w:rsidP="005247AA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0A40655A" w14:textId="6DD35817" w:rsidR="00822707" w:rsidRDefault="00822707" w:rsidP="00822707">
            <w:pPr>
              <w:rPr>
                <w:rFonts w:ascii="Verdana" w:hAnsi="Verdana" w:cs="Times New Roman"/>
                <w:bCs/>
              </w:rPr>
            </w:pPr>
            <w:r w:rsidRPr="006547A2">
              <w:rPr>
                <w:rFonts w:ascii="Verdana" w:hAnsi="Verdana" w:cs="Times New Roman"/>
                <w:bCs/>
              </w:rPr>
              <w:t xml:space="preserve">New Medical Drug Policies (effective </w:t>
            </w:r>
            <w:r w:rsidR="00B727CC" w:rsidRPr="006547A2">
              <w:rPr>
                <w:rFonts w:ascii="Verdana" w:hAnsi="Verdana" w:cs="Times New Roman"/>
                <w:bCs/>
              </w:rPr>
              <w:t>1/1</w:t>
            </w:r>
            <w:r w:rsidRPr="006547A2">
              <w:rPr>
                <w:rFonts w:ascii="Verdana" w:hAnsi="Verdana" w:cs="Times New Roman"/>
                <w:bCs/>
              </w:rPr>
              <w:t>/202</w:t>
            </w:r>
            <w:r w:rsidR="000D701C">
              <w:rPr>
                <w:rFonts w:ascii="Verdana" w:hAnsi="Verdana" w:cs="Times New Roman"/>
                <w:bCs/>
              </w:rPr>
              <w:t>5</w:t>
            </w:r>
            <w:r w:rsidRPr="006547A2">
              <w:rPr>
                <w:rFonts w:ascii="Verdana" w:hAnsi="Verdana" w:cs="Times New Roman"/>
                <w:bCs/>
              </w:rPr>
              <w:t>)</w:t>
            </w:r>
          </w:p>
          <w:p w14:paraId="47B4D3B8" w14:textId="77777777" w:rsidR="00C56DA1" w:rsidRDefault="00C56DA1" w:rsidP="00822707">
            <w:pPr>
              <w:rPr>
                <w:rFonts w:ascii="Verdana" w:hAnsi="Verdana" w:cs="Times New Roman"/>
                <w:bCs/>
              </w:rPr>
            </w:pPr>
          </w:p>
          <w:p w14:paraId="166089E0" w14:textId="252CE866" w:rsidR="00C56DA1" w:rsidRPr="006547A2" w:rsidRDefault="00C56DA1" w:rsidP="00822707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8370" w:type="dxa"/>
          </w:tcPr>
          <w:p w14:paraId="4CAE7322" w14:textId="77777777" w:rsidR="000D701C" w:rsidRPr="000D701C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0D701C">
              <w:rPr>
                <w:rFonts w:ascii="Verdana" w:hAnsi="Verdana"/>
                <w:bCs/>
              </w:rPr>
              <w:t>Lymphir</w:t>
            </w:r>
            <w:proofErr w:type="spellEnd"/>
          </w:p>
          <w:p w14:paraId="5B83BE22" w14:textId="77777777" w:rsidR="000D701C" w:rsidRPr="000D701C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0D701C">
              <w:rPr>
                <w:rFonts w:ascii="Verdana" w:hAnsi="Verdana"/>
                <w:bCs/>
              </w:rPr>
              <w:t>Niktimvo</w:t>
            </w:r>
            <w:proofErr w:type="spellEnd"/>
            <w:r w:rsidRPr="000D701C">
              <w:rPr>
                <w:rFonts w:ascii="Verdana" w:hAnsi="Verdana"/>
                <w:bCs/>
              </w:rPr>
              <w:t xml:space="preserve"> </w:t>
            </w:r>
          </w:p>
          <w:p w14:paraId="682215EF" w14:textId="77777777" w:rsidR="000D701C" w:rsidRPr="000D701C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r w:rsidRPr="000D701C">
              <w:rPr>
                <w:rFonts w:ascii="Verdana" w:hAnsi="Verdana"/>
                <w:bCs/>
              </w:rPr>
              <w:t xml:space="preserve">Ocrevus </w:t>
            </w:r>
            <w:proofErr w:type="spellStart"/>
            <w:r w:rsidRPr="000D701C">
              <w:rPr>
                <w:rFonts w:ascii="Verdana" w:hAnsi="Verdana"/>
                <w:bCs/>
              </w:rPr>
              <w:t>Zunovo</w:t>
            </w:r>
            <w:proofErr w:type="spellEnd"/>
          </w:p>
          <w:p w14:paraId="7EB06E20" w14:textId="77777777" w:rsidR="000D701C" w:rsidRPr="000D701C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0D701C">
              <w:rPr>
                <w:rFonts w:ascii="Verdana" w:hAnsi="Verdana"/>
                <w:bCs/>
              </w:rPr>
              <w:t>Tecentriq</w:t>
            </w:r>
            <w:proofErr w:type="spellEnd"/>
            <w:r w:rsidRPr="000D701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0D701C">
              <w:rPr>
                <w:rFonts w:ascii="Verdana" w:hAnsi="Verdana"/>
                <w:bCs/>
              </w:rPr>
              <w:t>Hybreza</w:t>
            </w:r>
            <w:proofErr w:type="spellEnd"/>
          </w:p>
          <w:p w14:paraId="517DCEF0" w14:textId="77777777" w:rsidR="000D701C" w:rsidRPr="000D701C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r w:rsidRPr="000D701C">
              <w:rPr>
                <w:rFonts w:ascii="Verdana" w:hAnsi="Verdana"/>
                <w:bCs/>
              </w:rPr>
              <w:t>Tremfya Intravenous</w:t>
            </w:r>
          </w:p>
          <w:p w14:paraId="6278BD34" w14:textId="77777777" w:rsidR="000D701C" w:rsidRPr="000D701C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0D701C">
              <w:rPr>
                <w:rFonts w:ascii="Verdana" w:hAnsi="Verdana"/>
                <w:bCs/>
              </w:rPr>
              <w:t>Vyalev</w:t>
            </w:r>
            <w:proofErr w:type="spellEnd"/>
          </w:p>
          <w:p w14:paraId="1096147E" w14:textId="4CFF62EF" w:rsidR="00F004BF" w:rsidRPr="00AB7540" w:rsidRDefault="000D701C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D701C">
              <w:rPr>
                <w:rFonts w:ascii="Verdana" w:hAnsi="Verdana"/>
                <w:bCs/>
              </w:rPr>
              <w:t>Vyloy</w:t>
            </w:r>
            <w:proofErr w:type="spellEnd"/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5A7958B6" w:rsidR="003F1B83" w:rsidRPr="00C06728" w:rsidRDefault="009D3869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December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 w:rsidR="007F3F30">
      <w:rPr>
        <w:rFonts w:ascii="Verdana" w:hAnsi="Verdana"/>
        <w:b/>
        <w:noProof/>
        <w:sz w:val="24"/>
        <w:szCs w:val="24"/>
      </w:rPr>
      <w:t>4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1"/>
  </w:num>
  <w:num w:numId="2" w16cid:durableId="1978099830">
    <w:abstractNumId w:val="23"/>
  </w:num>
  <w:num w:numId="3" w16cid:durableId="1002123467">
    <w:abstractNumId w:val="9"/>
  </w:num>
  <w:num w:numId="4" w16cid:durableId="32199846">
    <w:abstractNumId w:val="1"/>
  </w:num>
  <w:num w:numId="5" w16cid:durableId="197477088">
    <w:abstractNumId w:val="7"/>
  </w:num>
  <w:num w:numId="6" w16cid:durableId="1379547306">
    <w:abstractNumId w:val="15"/>
  </w:num>
  <w:num w:numId="7" w16cid:durableId="919951421">
    <w:abstractNumId w:val="8"/>
  </w:num>
  <w:num w:numId="8" w16cid:durableId="63340024">
    <w:abstractNumId w:val="6"/>
  </w:num>
  <w:num w:numId="9" w16cid:durableId="219295041">
    <w:abstractNumId w:val="11"/>
  </w:num>
  <w:num w:numId="10" w16cid:durableId="1379088175">
    <w:abstractNumId w:val="17"/>
  </w:num>
  <w:num w:numId="11" w16cid:durableId="1358458559">
    <w:abstractNumId w:val="26"/>
  </w:num>
  <w:num w:numId="12" w16cid:durableId="832255705">
    <w:abstractNumId w:val="5"/>
  </w:num>
  <w:num w:numId="13" w16cid:durableId="1048648586">
    <w:abstractNumId w:val="19"/>
  </w:num>
  <w:num w:numId="14" w16cid:durableId="865485552">
    <w:abstractNumId w:val="20"/>
  </w:num>
  <w:num w:numId="15" w16cid:durableId="40174074">
    <w:abstractNumId w:val="3"/>
  </w:num>
  <w:num w:numId="16" w16cid:durableId="816722650">
    <w:abstractNumId w:val="0"/>
  </w:num>
  <w:num w:numId="17" w16cid:durableId="345718672">
    <w:abstractNumId w:val="13"/>
  </w:num>
  <w:num w:numId="18" w16cid:durableId="1082531695">
    <w:abstractNumId w:val="18"/>
  </w:num>
  <w:num w:numId="19" w16cid:durableId="1500077621">
    <w:abstractNumId w:val="2"/>
  </w:num>
  <w:num w:numId="20" w16cid:durableId="1599602900">
    <w:abstractNumId w:val="12"/>
  </w:num>
  <w:num w:numId="21" w16cid:durableId="1137836206">
    <w:abstractNumId w:val="25"/>
  </w:num>
  <w:num w:numId="22" w16cid:durableId="1030061509">
    <w:abstractNumId w:val="24"/>
  </w:num>
  <w:num w:numId="23" w16cid:durableId="753742264">
    <w:abstractNumId w:val="10"/>
  </w:num>
  <w:num w:numId="24" w16cid:durableId="1871331762">
    <w:abstractNumId w:val="22"/>
  </w:num>
  <w:num w:numId="25" w16cid:durableId="1879584921">
    <w:abstractNumId w:val="4"/>
  </w:num>
  <w:num w:numId="26" w16cid:durableId="2136289971">
    <w:abstractNumId w:val="14"/>
  </w:num>
  <w:num w:numId="27" w16cid:durableId="462622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0536E"/>
    <w:rsid w:val="0000785E"/>
    <w:rsid w:val="00013B7E"/>
    <w:rsid w:val="00015A48"/>
    <w:rsid w:val="0002693E"/>
    <w:rsid w:val="000276E5"/>
    <w:rsid w:val="00027B5D"/>
    <w:rsid w:val="0003103B"/>
    <w:rsid w:val="00041EE0"/>
    <w:rsid w:val="00042572"/>
    <w:rsid w:val="0005112F"/>
    <w:rsid w:val="0005632B"/>
    <w:rsid w:val="00062D9B"/>
    <w:rsid w:val="00072DE3"/>
    <w:rsid w:val="00075402"/>
    <w:rsid w:val="000762F7"/>
    <w:rsid w:val="00077220"/>
    <w:rsid w:val="00080E04"/>
    <w:rsid w:val="0008291B"/>
    <w:rsid w:val="0008523F"/>
    <w:rsid w:val="000863CE"/>
    <w:rsid w:val="00090CB6"/>
    <w:rsid w:val="000A29D3"/>
    <w:rsid w:val="000A3A58"/>
    <w:rsid w:val="000A6E31"/>
    <w:rsid w:val="000B1E4B"/>
    <w:rsid w:val="000B377F"/>
    <w:rsid w:val="000B6BBD"/>
    <w:rsid w:val="000C0DF2"/>
    <w:rsid w:val="000C1AED"/>
    <w:rsid w:val="000C5531"/>
    <w:rsid w:val="000D701C"/>
    <w:rsid w:val="000E3555"/>
    <w:rsid w:val="000E718C"/>
    <w:rsid w:val="000E7E43"/>
    <w:rsid w:val="000F3657"/>
    <w:rsid w:val="00103223"/>
    <w:rsid w:val="00111747"/>
    <w:rsid w:val="00113BFC"/>
    <w:rsid w:val="00123683"/>
    <w:rsid w:val="00123A36"/>
    <w:rsid w:val="00153FC2"/>
    <w:rsid w:val="00154175"/>
    <w:rsid w:val="00166739"/>
    <w:rsid w:val="0016796B"/>
    <w:rsid w:val="001679C6"/>
    <w:rsid w:val="001737B3"/>
    <w:rsid w:val="00173929"/>
    <w:rsid w:val="00174C58"/>
    <w:rsid w:val="001762D1"/>
    <w:rsid w:val="00181BB5"/>
    <w:rsid w:val="001877A4"/>
    <w:rsid w:val="001A5644"/>
    <w:rsid w:val="001A7D1B"/>
    <w:rsid w:val="001B05E8"/>
    <w:rsid w:val="001B671E"/>
    <w:rsid w:val="001B70F1"/>
    <w:rsid w:val="001C0339"/>
    <w:rsid w:val="001C4424"/>
    <w:rsid w:val="001C6A3A"/>
    <w:rsid w:val="001D1C4F"/>
    <w:rsid w:val="001E0B7A"/>
    <w:rsid w:val="001E24D2"/>
    <w:rsid w:val="001E373C"/>
    <w:rsid w:val="001E756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55A16"/>
    <w:rsid w:val="00263AA5"/>
    <w:rsid w:val="00276D88"/>
    <w:rsid w:val="002776D4"/>
    <w:rsid w:val="00282F97"/>
    <w:rsid w:val="00286B01"/>
    <w:rsid w:val="00287036"/>
    <w:rsid w:val="00291916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0E7F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65381"/>
    <w:rsid w:val="003718D1"/>
    <w:rsid w:val="00374925"/>
    <w:rsid w:val="0037536D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7170"/>
    <w:rsid w:val="00570471"/>
    <w:rsid w:val="00583068"/>
    <w:rsid w:val="005842E0"/>
    <w:rsid w:val="005919AE"/>
    <w:rsid w:val="005923D0"/>
    <w:rsid w:val="00595206"/>
    <w:rsid w:val="00596B6A"/>
    <w:rsid w:val="005A0F54"/>
    <w:rsid w:val="005A4597"/>
    <w:rsid w:val="005A54CD"/>
    <w:rsid w:val="005A5771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264F"/>
    <w:rsid w:val="0062160D"/>
    <w:rsid w:val="006223BC"/>
    <w:rsid w:val="00630D15"/>
    <w:rsid w:val="00631DE6"/>
    <w:rsid w:val="006324B9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47A2"/>
    <w:rsid w:val="0065705C"/>
    <w:rsid w:val="006623BA"/>
    <w:rsid w:val="0066383F"/>
    <w:rsid w:val="006678A7"/>
    <w:rsid w:val="00670D60"/>
    <w:rsid w:val="00672217"/>
    <w:rsid w:val="006732A8"/>
    <w:rsid w:val="006746EE"/>
    <w:rsid w:val="006804D8"/>
    <w:rsid w:val="00684C33"/>
    <w:rsid w:val="00690B16"/>
    <w:rsid w:val="006935BF"/>
    <w:rsid w:val="0069703B"/>
    <w:rsid w:val="006977BA"/>
    <w:rsid w:val="006A5737"/>
    <w:rsid w:val="006B16C1"/>
    <w:rsid w:val="006C5E4A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440C"/>
    <w:rsid w:val="0073594F"/>
    <w:rsid w:val="00741038"/>
    <w:rsid w:val="00752274"/>
    <w:rsid w:val="007523CA"/>
    <w:rsid w:val="00755911"/>
    <w:rsid w:val="007575C7"/>
    <w:rsid w:val="00760FBC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C152F"/>
    <w:rsid w:val="007D11A0"/>
    <w:rsid w:val="007D1D6A"/>
    <w:rsid w:val="007D3B4E"/>
    <w:rsid w:val="007D59EC"/>
    <w:rsid w:val="007D7099"/>
    <w:rsid w:val="007D7F52"/>
    <w:rsid w:val="007E2C73"/>
    <w:rsid w:val="007E4E57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238AB"/>
    <w:rsid w:val="00832DF6"/>
    <w:rsid w:val="00832EB0"/>
    <w:rsid w:val="00837406"/>
    <w:rsid w:val="00843F92"/>
    <w:rsid w:val="00844266"/>
    <w:rsid w:val="00844806"/>
    <w:rsid w:val="00852F8C"/>
    <w:rsid w:val="008615D7"/>
    <w:rsid w:val="0086202F"/>
    <w:rsid w:val="00870C50"/>
    <w:rsid w:val="00873F95"/>
    <w:rsid w:val="008747E1"/>
    <w:rsid w:val="00875379"/>
    <w:rsid w:val="00876AB4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530B"/>
    <w:rsid w:val="00975A46"/>
    <w:rsid w:val="00976ECF"/>
    <w:rsid w:val="0098015B"/>
    <w:rsid w:val="009927A3"/>
    <w:rsid w:val="0099506A"/>
    <w:rsid w:val="00995073"/>
    <w:rsid w:val="009A191A"/>
    <w:rsid w:val="009A327F"/>
    <w:rsid w:val="009C12CD"/>
    <w:rsid w:val="009C2659"/>
    <w:rsid w:val="009D3869"/>
    <w:rsid w:val="009E4205"/>
    <w:rsid w:val="009F5B06"/>
    <w:rsid w:val="00A005B8"/>
    <w:rsid w:val="00A02DD7"/>
    <w:rsid w:val="00A05F99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A2672"/>
    <w:rsid w:val="00AA31FF"/>
    <w:rsid w:val="00AB0E4C"/>
    <w:rsid w:val="00AB1450"/>
    <w:rsid w:val="00AB22E9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D31"/>
    <w:rsid w:val="00AE6351"/>
    <w:rsid w:val="00AE79B0"/>
    <w:rsid w:val="00AF0175"/>
    <w:rsid w:val="00AF03AD"/>
    <w:rsid w:val="00AF18FE"/>
    <w:rsid w:val="00AF2228"/>
    <w:rsid w:val="00AF3556"/>
    <w:rsid w:val="00AF502D"/>
    <w:rsid w:val="00B15806"/>
    <w:rsid w:val="00B26334"/>
    <w:rsid w:val="00B341E2"/>
    <w:rsid w:val="00B42D27"/>
    <w:rsid w:val="00B452FC"/>
    <w:rsid w:val="00B45B7C"/>
    <w:rsid w:val="00B53640"/>
    <w:rsid w:val="00B54FDE"/>
    <w:rsid w:val="00B552FE"/>
    <w:rsid w:val="00B727CC"/>
    <w:rsid w:val="00B76A29"/>
    <w:rsid w:val="00B80CEA"/>
    <w:rsid w:val="00B81F89"/>
    <w:rsid w:val="00B91F98"/>
    <w:rsid w:val="00B96566"/>
    <w:rsid w:val="00B969C8"/>
    <w:rsid w:val="00BA476A"/>
    <w:rsid w:val="00BA5EBF"/>
    <w:rsid w:val="00BA65CE"/>
    <w:rsid w:val="00BA6D19"/>
    <w:rsid w:val="00BA7E1A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BE6EB6"/>
    <w:rsid w:val="00C0196F"/>
    <w:rsid w:val="00C06728"/>
    <w:rsid w:val="00C10694"/>
    <w:rsid w:val="00C119D2"/>
    <w:rsid w:val="00C11ADE"/>
    <w:rsid w:val="00C2794E"/>
    <w:rsid w:val="00C3217C"/>
    <w:rsid w:val="00C32D5D"/>
    <w:rsid w:val="00C36463"/>
    <w:rsid w:val="00C45D79"/>
    <w:rsid w:val="00C534D5"/>
    <w:rsid w:val="00C53605"/>
    <w:rsid w:val="00C56DA1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58CA"/>
    <w:rsid w:val="00D4079E"/>
    <w:rsid w:val="00D46781"/>
    <w:rsid w:val="00D46C3A"/>
    <w:rsid w:val="00D476D1"/>
    <w:rsid w:val="00D5135F"/>
    <w:rsid w:val="00D57D61"/>
    <w:rsid w:val="00D633E8"/>
    <w:rsid w:val="00D80B16"/>
    <w:rsid w:val="00D84EC6"/>
    <w:rsid w:val="00D877F3"/>
    <w:rsid w:val="00D9015D"/>
    <w:rsid w:val="00DA2B74"/>
    <w:rsid w:val="00DA3259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F0239"/>
    <w:rsid w:val="00DF3108"/>
    <w:rsid w:val="00E006EC"/>
    <w:rsid w:val="00E013CB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44C8"/>
    <w:rsid w:val="00E74BF6"/>
    <w:rsid w:val="00E7525F"/>
    <w:rsid w:val="00E77836"/>
    <w:rsid w:val="00E8102A"/>
    <w:rsid w:val="00E82183"/>
    <w:rsid w:val="00E8257D"/>
    <w:rsid w:val="00E84053"/>
    <w:rsid w:val="00E841AA"/>
    <w:rsid w:val="00E85C8E"/>
    <w:rsid w:val="00E864E7"/>
    <w:rsid w:val="00E902DB"/>
    <w:rsid w:val="00E91C92"/>
    <w:rsid w:val="00EA0D64"/>
    <w:rsid w:val="00EB661B"/>
    <w:rsid w:val="00EB71D7"/>
    <w:rsid w:val="00EC06CC"/>
    <w:rsid w:val="00EC6614"/>
    <w:rsid w:val="00EC703C"/>
    <w:rsid w:val="00ED320C"/>
    <w:rsid w:val="00EE322F"/>
    <w:rsid w:val="00EE634E"/>
    <w:rsid w:val="00F003A7"/>
    <w:rsid w:val="00F004BF"/>
    <w:rsid w:val="00F05FFE"/>
    <w:rsid w:val="00F15BF5"/>
    <w:rsid w:val="00F24DFC"/>
    <w:rsid w:val="00F31CE2"/>
    <w:rsid w:val="00F43E91"/>
    <w:rsid w:val="00F60FB8"/>
    <w:rsid w:val="00F6467A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C051D"/>
    <w:rsid w:val="00FC4D27"/>
    <w:rsid w:val="00FC6389"/>
    <w:rsid w:val="00FD6E95"/>
    <w:rsid w:val="00FE05CF"/>
    <w:rsid w:val="00FE764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540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13</Pages>
  <Words>2359</Words>
  <Characters>13684</Characters>
  <Application>Microsoft Office Word</Application>
  <DocSecurity>0</DocSecurity>
  <Lines>318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Lynda Laitinen-Terlecki</cp:lastModifiedBy>
  <cp:revision>4</cp:revision>
  <cp:lastPrinted>2021-03-05T16:16:00Z</cp:lastPrinted>
  <dcterms:created xsi:type="dcterms:W3CDTF">2024-12-17T19:42:00Z</dcterms:created>
  <dcterms:modified xsi:type="dcterms:W3CDTF">2024-12-19T19:36:00Z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