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6287" w14:textId="67FA93B7" w:rsidR="004A3F96" w:rsidRPr="00AD66FA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UCare</w:t>
      </w:r>
      <w:r w:rsidR="00440BB7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’s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Pharmacy and Therapeutics Committee (P&amp;T) is a group of physicians and pharmacists that meet throughout </w:t>
      </w:r>
      <w:r w:rsid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the year to make changes to UCare formularies</w:t>
      </w:r>
      <w:r w:rsidR="00875379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(approved drug list).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These changes are reviewed based on clinical evidence</w:t>
      </w:r>
      <w:r w:rsidR="0063466E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, safety, and </w:t>
      </w:r>
      <w:r w:rsidR="00875379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therapeutic guidelines.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All changes that </w:t>
      </w:r>
      <w:r w:rsidR="0063466E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are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recommended by P&amp;T </w:t>
      </w:r>
      <w:r w:rsidR="00CB7322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for the Medicare formularies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are tentative un</w:t>
      </w:r>
      <w:r w:rsidR="00CB7322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til UCare receives final CMS approval.</w:t>
      </w:r>
    </w:p>
    <w:p w14:paraId="65087A81" w14:textId="77777777" w:rsidR="004A3F96" w:rsidRPr="00AD66FA" w:rsidRDefault="004A3F96" w:rsidP="004A3F96">
      <w:pPr>
        <w:spacing w:before="24"/>
        <w:ind w:left="569"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</w:p>
    <w:p w14:paraId="1150A02D" w14:textId="77777777" w:rsidR="00B81F89" w:rsidRPr="00AD66FA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  <w:u w:val="single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  <w:u w:val="single"/>
        </w:rPr>
        <w:t>Key:</w:t>
      </w:r>
    </w:p>
    <w:p w14:paraId="5D1D94BF" w14:textId="7F717391" w:rsidR="00B81F89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Medicare: </w:t>
      </w:r>
      <w:r w:rsidR="001B70F1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UC</w:t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ar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e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Medicare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,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UCare Medicare with Fairview and North Memorial,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UCare Group Medicare, </w:t>
      </w:r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EssentiaCare,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Minnesota Sen</w:t>
      </w:r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ior Health Options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(MSHO)</w:t>
      </w:r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</w:t>
      </w:r>
      <w:r w:rsidR="005C2E2A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&amp; Connect + Medicare</w:t>
      </w:r>
    </w:p>
    <w:p w14:paraId="3E2B9D6F" w14:textId="0437A5CD" w:rsidR="007B7D1B" w:rsidRPr="00AD66FA" w:rsidRDefault="007B7D1B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>
        <w:rPr>
          <w:rFonts w:ascii="Verdana" w:eastAsia="Times New Roman" w:hAnsi="Verdana" w:cs="Times New Roman"/>
          <w:bCs/>
          <w:spacing w:val="2"/>
          <w:sz w:val="20"/>
          <w:szCs w:val="20"/>
        </w:rPr>
        <w:t>Medicare: Your Choice (PPO)</w:t>
      </w:r>
    </w:p>
    <w:p w14:paraId="7EDBF446" w14:textId="79F0D6AC" w:rsidR="0005632B" w:rsidRPr="00AD66FA" w:rsidRDefault="0005632B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Medicaid</w:t>
      </w:r>
      <w:r w:rsidR="00400E1D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: PMAP, MnCare, MSC+ &amp; Connect</w:t>
      </w:r>
    </w:p>
    <w:p w14:paraId="6F77E887" w14:textId="6F8F8754" w:rsidR="00400E1D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Exchange: UCare 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>Individual and Family Plans</w:t>
      </w:r>
      <w:r w:rsidR="007B7D1B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(IFP)</w:t>
      </w:r>
    </w:p>
    <w:p w14:paraId="4185E2F5" w14:textId="77777777" w:rsidR="00303B44" w:rsidRPr="00AD66FA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</w:p>
    <w:p w14:paraId="7985106C" w14:textId="3820B586" w:rsidR="004A3F96" w:rsidRPr="00AD66FA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>
        <w:rPr>
          <w:rFonts w:ascii="Verdana" w:eastAsia="Times New Roman" w:hAnsi="Verdana" w:cs="Times New Roman"/>
          <w:bCs/>
          <w:spacing w:val="2"/>
          <w:sz w:val="20"/>
          <w:szCs w:val="20"/>
        </w:rPr>
        <w:t>F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>
        <w:rPr>
          <w:rFonts w:ascii="Verdana" w:eastAsia="Times New Roman" w:hAnsi="Verdana" w:cs="Times New Roman"/>
          <w:bCs/>
          <w:spacing w:val="2"/>
          <w:sz w:val="20"/>
          <w:szCs w:val="20"/>
        </w:rPr>
        <w:t>Formulary</w:t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</w:p>
    <w:p w14:paraId="00D3FA92" w14:textId="7173AA21" w:rsidR="00173929" w:rsidRDefault="00173929" w:rsidP="00173929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NF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Non-formulary</w:t>
      </w:r>
    </w:p>
    <w:p w14:paraId="00A637FF" w14:textId="6AD2E825" w:rsidR="007B7D1B" w:rsidRPr="00AD66FA" w:rsidRDefault="007B7D1B" w:rsidP="00173929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>
        <w:rPr>
          <w:rFonts w:ascii="Verdana" w:eastAsia="Times New Roman" w:hAnsi="Verdana" w:cs="Times New Roman"/>
          <w:bCs/>
          <w:spacing w:val="2"/>
          <w:sz w:val="20"/>
          <w:szCs w:val="20"/>
        </w:rPr>
        <w:t>NP: Non-Preferred (Drug requires PA)</w:t>
      </w:r>
    </w:p>
    <w:p w14:paraId="5F4065EA" w14:textId="7C8229A1" w:rsidR="004934D4" w:rsidRPr="00AD66FA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PA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Prior Authorization </w:t>
      </w:r>
    </w:p>
    <w:p w14:paraId="2971532A" w14:textId="05202C80" w:rsidR="00844806" w:rsidRPr="00AD66FA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QL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Quantity Limit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</w:p>
    <w:p w14:paraId="495D3ADA" w14:textId="6D1B218A" w:rsidR="004934D4" w:rsidRPr="00AD66FA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ST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Step Therapy</w:t>
      </w:r>
    </w:p>
    <w:p w14:paraId="440A392E" w14:textId="63A1AAD7" w:rsidR="005E2989" w:rsidRDefault="005E2989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</w:p>
    <w:p w14:paraId="38B717C3" w14:textId="77777777" w:rsidR="00C36463" w:rsidRPr="00852F8C" w:rsidRDefault="00C36463">
      <w:pPr>
        <w:spacing w:line="200" w:lineRule="exact"/>
        <w:rPr>
          <w:rFonts w:ascii="Verdana" w:hAnsi="Verdana"/>
          <w:sz w:val="20"/>
          <w:szCs w:val="20"/>
        </w:rPr>
      </w:pPr>
    </w:p>
    <w:p w14:paraId="571B2695" w14:textId="2934CBBB" w:rsidR="001B05E8" w:rsidRPr="00015A48" w:rsidRDefault="000A6E31" w:rsidP="00015A48">
      <w:pPr>
        <w:spacing w:line="200" w:lineRule="exact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852F8C">
        <w:rPr>
          <w:rFonts w:ascii="Verdana" w:eastAsia="Times New Roman" w:hAnsi="Verdana" w:cs="Arial"/>
          <w:b/>
          <w:sz w:val="20"/>
          <w:szCs w:val="20"/>
        </w:rPr>
        <w:t xml:space="preserve">Formulary changes for New Generics, New Indications and Miscellaneous Previously Reviewed drugs are effective </w:t>
      </w:r>
      <w:r w:rsidR="000D21C7">
        <w:rPr>
          <w:rFonts w:ascii="Verdana" w:eastAsia="Times New Roman" w:hAnsi="Verdana" w:cs="Arial"/>
          <w:b/>
          <w:sz w:val="20"/>
          <w:szCs w:val="20"/>
        </w:rPr>
        <w:t>0</w:t>
      </w:r>
      <w:r w:rsidR="00E7797F">
        <w:rPr>
          <w:rFonts w:ascii="Verdana" w:eastAsia="Times New Roman" w:hAnsi="Verdana" w:cs="Arial"/>
          <w:b/>
          <w:sz w:val="20"/>
          <w:szCs w:val="20"/>
        </w:rPr>
        <w:t>6</w:t>
      </w:r>
      <w:r w:rsidR="00BE479A">
        <w:rPr>
          <w:rFonts w:ascii="Verdana" w:eastAsia="Times New Roman" w:hAnsi="Verdana" w:cs="Arial"/>
          <w:b/>
          <w:sz w:val="20"/>
          <w:szCs w:val="20"/>
        </w:rPr>
        <w:t>/01</w:t>
      </w:r>
      <w:r w:rsidRPr="00BE479A">
        <w:rPr>
          <w:rFonts w:ascii="Verdana" w:eastAsia="Times New Roman" w:hAnsi="Verdana" w:cs="Arial"/>
          <w:b/>
          <w:sz w:val="20"/>
          <w:szCs w:val="20"/>
        </w:rPr>
        <w:t>/202</w:t>
      </w:r>
      <w:r w:rsidR="0081196F">
        <w:rPr>
          <w:rFonts w:ascii="Verdana" w:eastAsia="Times New Roman" w:hAnsi="Verdana" w:cs="Arial"/>
          <w:b/>
          <w:sz w:val="20"/>
          <w:szCs w:val="20"/>
        </w:rPr>
        <w:t>4</w:t>
      </w:r>
      <w:r w:rsidRPr="00BE479A">
        <w:rPr>
          <w:rFonts w:ascii="Verdana" w:eastAsia="Times New Roman" w:hAnsi="Verdana" w:cs="Arial"/>
          <w:b/>
          <w:sz w:val="20"/>
          <w:szCs w:val="20"/>
        </w:rPr>
        <w:t>.</w:t>
      </w:r>
    </w:p>
    <w:p w14:paraId="4909B206" w14:textId="77777777" w:rsidR="001B05E8" w:rsidRPr="00852F8C" w:rsidRDefault="001B05E8" w:rsidP="006B16C1">
      <w:pPr>
        <w:rPr>
          <w:rFonts w:ascii="Verdana" w:eastAsia="Times New Roman" w:hAnsi="Verdana" w:cs="Arial"/>
          <w:b/>
          <w:sz w:val="20"/>
          <w:szCs w:val="20"/>
          <w:u w:val="single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153FC2" w:rsidRPr="00852F8C" w14:paraId="2C07B094" w14:textId="77777777" w:rsidTr="00D90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71E652E9" w14:textId="77777777" w:rsidR="004C5F89" w:rsidRPr="00852F8C" w:rsidRDefault="00153FC2" w:rsidP="005247AA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bookmarkStart w:id="0" w:name="_Hlk98851985"/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Indications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2430"/>
        <w:gridCol w:w="4230"/>
        <w:gridCol w:w="4257"/>
      </w:tblGrid>
      <w:tr w:rsidR="004F2F90" w:rsidRPr="00852F8C" w14:paraId="4B7C4753" w14:textId="77777777" w:rsidTr="00296E12">
        <w:trPr>
          <w:trHeight w:val="566"/>
        </w:trPr>
        <w:tc>
          <w:tcPr>
            <w:tcW w:w="2430" w:type="dxa"/>
          </w:tcPr>
          <w:p w14:paraId="48E65DDF" w14:textId="5B200CEC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4230" w:type="dxa"/>
          </w:tcPr>
          <w:p w14:paraId="48AC1C2A" w14:textId="4EC1C9F5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Current formulary status</w:t>
            </w:r>
          </w:p>
        </w:tc>
        <w:tc>
          <w:tcPr>
            <w:tcW w:w="4257" w:type="dxa"/>
          </w:tcPr>
          <w:p w14:paraId="0DC14B8E" w14:textId="39AC6804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bookmarkEnd w:id="0"/>
      <w:tr w:rsidR="0099506A" w:rsidRPr="00852F8C" w14:paraId="1B56CDD1" w14:textId="77777777" w:rsidTr="00296E12">
        <w:tc>
          <w:tcPr>
            <w:tcW w:w="2430" w:type="dxa"/>
            <w:shd w:val="clear" w:color="auto" w:fill="auto"/>
          </w:tcPr>
          <w:p w14:paraId="2E2E6DB0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 xml:space="preserve">Xolair (omalizumab) 75 mg/0.5 mL, 150 mg/1 mL, &amp; 300 mg/2 mL auto-injectors and prefilled syringes for IgE-mediated food allergy </w:t>
            </w:r>
          </w:p>
          <w:p w14:paraId="79C91297" w14:textId="563A5F18" w:rsidR="0099506A" w:rsidRPr="00852F8C" w:rsidRDefault="0099506A" w:rsidP="009950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31DB2A16" w14:textId="3CF6FAB6" w:rsidR="0099506A" w:rsidRPr="00852F8C" w:rsidRDefault="007B7D1B" w:rsidP="0099506A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F, PPO – F, IFP – F, Medicaid - F</w:t>
            </w:r>
          </w:p>
        </w:tc>
        <w:tc>
          <w:tcPr>
            <w:tcW w:w="4257" w:type="dxa"/>
            <w:shd w:val="clear" w:color="auto" w:fill="auto"/>
          </w:tcPr>
          <w:p w14:paraId="3FEA51F4" w14:textId="7DD795D9" w:rsidR="0099506A" w:rsidRPr="00852F8C" w:rsidRDefault="007B7D1B" w:rsidP="0099506A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F, PPO – F, IFP – F, Medicaid - 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5641F0" w:rsidRPr="00852F8C" w14:paraId="40C03084" w14:textId="77777777" w:rsidTr="00BD0C1E">
        <w:trPr>
          <w:trHeight w:val="503"/>
        </w:trPr>
        <w:tc>
          <w:tcPr>
            <w:tcW w:w="2430" w:type="dxa"/>
            <w:shd w:val="clear" w:color="auto" w:fill="auto"/>
          </w:tcPr>
          <w:p w14:paraId="44BB3E69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 xml:space="preserve">Biktarvy (bictegravir-emtricitabine-tenofovir alafenamide) 50-200-25 mg &amp; 30-120-15 mg tablets complete regimen for complete HIV-1 expanded indication </w:t>
            </w:r>
          </w:p>
          <w:p w14:paraId="6C228C09" w14:textId="185EFC74" w:rsidR="005641F0" w:rsidRPr="00852F8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04632F8E" w14:textId="0996C1A6" w:rsidR="005641F0" w:rsidRPr="00852F8C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F, PPO – F, IFP – F, Medicaid - F</w:t>
            </w:r>
            <w:r w:rsidRPr="00852F8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6C241ED8" w14:textId="60F61DE0" w:rsidR="005641F0" w:rsidRPr="00BD0C1E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F, PPO – F, IFP – F, Medicaid - F</w:t>
            </w:r>
            <w:r w:rsidRPr="00BD0C1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641F0" w:rsidRPr="00852F8C" w14:paraId="7403E543" w14:textId="77777777" w:rsidTr="00296E12">
        <w:tc>
          <w:tcPr>
            <w:tcW w:w="2430" w:type="dxa"/>
            <w:shd w:val="clear" w:color="auto" w:fill="auto"/>
          </w:tcPr>
          <w:p w14:paraId="5B538FFC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 xml:space="preserve">Tagrisso (osimertinib) 40 &amp; 80 mg tablets for first-line treatment of adult patients with locally </w:t>
            </w:r>
            <w:r w:rsidRPr="0037683E">
              <w:rPr>
                <w:rFonts w:ascii="Verdana" w:hAnsi="Verdana"/>
                <w:sz w:val="20"/>
                <w:szCs w:val="20"/>
              </w:rPr>
              <w:lastRenderedPageBreak/>
              <w:t xml:space="preserve">advanced or metastatic NSCLC whose tumors have EGFR exon 19 deletions or exon 21 L858R mutations in combination with pemetrexed and platinum-based chemotherapy </w:t>
            </w:r>
          </w:p>
          <w:p w14:paraId="28120F19" w14:textId="0F07B4BA" w:rsidR="005641F0" w:rsidRPr="00852F8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57D9EF13" w14:textId="588A9BDB" w:rsidR="005641F0" w:rsidRPr="00852F8C" w:rsidRDefault="000233CA" w:rsidP="003768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Medicare – F, PPO – F, IFP – F, Medicaid - F</w:t>
            </w:r>
          </w:p>
        </w:tc>
        <w:tc>
          <w:tcPr>
            <w:tcW w:w="4257" w:type="dxa"/>
            <w:shd w:val="clear" w:color="auto" w:fill="auto"/>
          </w:tcPr>
          <w:p w14:paraId="5EB58032" w14:textId="419F9DFC" w:rsidR="005641F0" w:rsidRPr="00852F8C" w:rsidRDefault="000233CA" w:rsidP="005641F0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F, PPO – F, IFP – F, Medicaid - 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5641F0" w:rsidRPr="00852F8C" w14:paraId="7F7B60B7" w14:textId="77777777" w:rsidTr="00296E12">
        <w:tc>
          <w:tcPr>
            <w:tcW w:w="2430" w:type="dxa"/>
            <w:shd w:val="clear" w:color="auto" w:fill="auto"/>
          </w:tcPr>
          <w:p w14:paraId="4E372EB4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 xml:space="preserve">Onivyde (irinotecan liposome injection) 4.3 mg/mL IV solution for first-line treatment of metastatic pancreatic adenocarcinoma </w:t>
            </w:r>
          </w:p>
          <w:p w14:paraId="547F3925" w14:textId="35ACFB18" w:rsidR="005641F0" w:rsidRPr="006E7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2FC01962" w14:textId="3A813D7D" w:rsidR="005641F0" w:rsidRPr="00852F8C" w:rsidRDefault="000233CA" w:rsidP="005641F0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PPO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F, IFP –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Medicaid -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779A8F60" w14:textId="4D0DC6B1" w:rsidR="005641F0" w:rsidRPr="00852F8C" w:rsidRDefault="000233CA" w:rsidP="005641F0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NF, PPO – NF, IFP –NF, Medicaid - NF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5641F0" w:rsidRPr="00852F8C" w14:paraId="72856C60" w14:textId="77777777" w:rsidTr="00296E12">
        <w:tc>
          <w:tcPr>
            <w:tcW w:w="2430" w:type="dxa"/>
            <w:shd w:val="clear" w:color="auto" w:fill="auto"/>
          </w:tcPr>
          <w:p w14:paraId="3076AF57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 xml:space="preserve">Keytruda (pembrolizumab) 25 mg/mL IV solution for FIGO stage III-IVA cervical cancer in combination with chemoradiotherapy </w:t>
            </w:r>
          </w:p>
          <w:p w14:paraId="38BEAD85" w14:textId="4829920C" w:rsidR="005641F0" w:rsidRPr="006E7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0613AA00" w14:textId="1A9D95E8" w:rsidR="005641F0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NF, PPO – NF, IFP –NF, Medicaid - NF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3B6D7DF1" w14:textId="2A8CB0E3" w:rsidR="005641F0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NF, PPO – NF, IFP –NF, Medicaid - NF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5641F0" w:rsidRPr="00852F8C" w14:paraId="17CA87CD" w14:textId="77777777" w:rsidTr="00296E12">
        <w:tc>
          <w:tcPr>
            <w:tcW w:w="2430" w:type="dxa"/>
            <w:shd w:val="clear" w:color="auto" w:fill="auto"/>
          </w:tcPr>
          <w:p w14:paraId="0D4B2FA4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 xml:space="preserve">Keytruda (pembrolizumab) 25 mg/mL IV solution for hepatocellular carcinoma in patients previously treated with sorafenib full approval </w:t>
            </w:r>
          </w:p>
          <w:p w14:paraId="69CC1936" w14:textId="7DD4B763" w:rsidR="005641F0" w:rsidRPr="00BD0C1E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55F02075" w14:textId="726AB281" w:rsidR="005641F0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NF, PPO – NF, IFP –NF, Medicaid - NF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7819FB4C" w14:textId="024EE7FE" w:rsidR="005641F0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NF, PPO – NF, IFP –NF, Medicaid - NF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37683E" w:rsidRPr="00852F8C" w14:paraId="50885D80" w14:textId="77777777" w:rsidTr="0037683E">
        <w:trPr>
          <w:trHeight w:val="1025"/>
        </w:trPr>
        <w:tc>
          <w:tcPr>
            <w:tcW w:w="2430" w:type="dxa"/>
            <w:shd w:val="clear" w:color="auto" w:fill="auto"/>
          </w:tcPr>
          <w:p w14:paraId="5301C10E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 xml:space="preserve">Rybrevant (amivantamab) 50 mg/mL IV solution for first-line treatment of locally advanced or metastatic NSCLC with EGFR exon 20 insertion mutations full approval </w:t>
            </w:r>
          </w:p>
          <w:p w14:paraId="2E9A44B1" w14:textId="77777777" w:rsidR="0037683E" w:rsidRPr="00BD0C1E" w:rsidRDefault="0037683E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6F49FF62" w14:textId="2826A8C2" w:rsidR="0037683E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NF, PPO – NF, IFP –NF, Medicaid - NF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04D73E94" w14:textId="6E24D7C5" w:rsidR="0037683E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NF, PPO – NF, IFP –NF, Medicaid - NF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5641F0" w:rsidRPr="00852F8C" w14:paraId="7FD52854" w14:textId="77777777" w:rsidTr="00296E12">
        <w:tc>
          <w:tcPr>
            <w:tcW w:w="2430" w:type="dxa"/>
            <w:shd w:val="clear" w:color="auto" w:fill="auto"/>
          </w:tcPr>
          <w:p w14:paraId="59B98C44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 xml:space="preserve">Brukinsa (zanubrutinib) 80 mg capsules for relapsed or refractory follicular lymphoma </w:t>
            </w:r>
          </w:p>
          <w:p w14:paraId="71BB1DA5" w14:textId="1A77D803" w:rsidR="005641F0" w:rsidRPr="00BD0C1E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326D34FC" w14:textId="4C90027D" w:rsidR="005641F0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Medicare – F, PPO – F, IFP – F, Medicaid - F</w:t>
            </w:r>
            <w:r w:rsidRPr="00F16A1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22966CB5" w14:textId="12C5F597" w:rsidR="005641F0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F, PPO – F, IFP – F, Medicaid - F</w:t>
            </w:r>
            <w:r w:rsidRPr="00F16A1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641F0" w:rsidRPr="00852F8C" w14:paraId="4C1157FE" w14:textId="77777777" w:rsidTr="00296E12">
        <w:tc>
          <w:tcPr>
            <w:tcW w:w="2430" w:type="dxa"/>
            <w:shd w:val="clear" w:color="auto" w:fill="auto"/>
          </w:tcPr>
          <w:p w14:paraId="0A37067D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 xml:space="preserve">Praluent (alirocumab) 75 mg/mL &amp; 150 mg/mL pre-filled pens indicated as an adjunct to diet and other LDL cholesterol lowering therapies in pediatric patients ≥ 8 years age expansion </w:t>
            </w:r>
          </w:p>
          <w:p w14:paraId="2987B41C" w14:textId="02A69CC5" w:rsidR="005641F0" w:rsidRPr="00BD0C1E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2C16995E" w14:textId="77777777" w:rsidR="000233CA" w:rsidRPr="0037683E" w:rsidRDefault="000233CA" w:rsidP="000233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Medicare – F, PPO – F, IFP – NF, </w:t>
            </w:r>
            <w:r w:rsidRPr="0037683E">
              <w:rPr>
                <w:rFonts w:ascii="Verdana" w:hAnsi="Verdana"/>
                <w:sz w:val="20"/>
                <w:szCs w:val="20"/>
              </w:rPr>
              <w:t>Medicaid – NP</w:t>
            </w:r>
          </w:p>
          <w:p w14:paraId="56156AB1" w14:textId="7A066D3B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1CB05617" w14:textId="77777777" w:rsidR="000233CA" w:rsidRPr="0037683E" w:rsidRDefault="000233CA" w:rsidP="000233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Medicare – F, PPO – F, IFP – NF, </w:t>
            </w:r>
            <w:r w:rsidRPr="0037683E">
              <w:rPr>
                <w:rFonts w:ascii="Verdana" w:hAnsi="Verdana"/>
                <w:sz w:val="20"/>
                <w:szCs w:val="20"/>
              </w:rPr>
              <w:t>Medicaid – NP</w:t>
            </w:r>
          </w:p>
          <w:p w14:paraId="0EAADDF2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70615F2C" w14:textId="77777777" w:rsidTr="00296E12">
        <w:tc>
          <w:tcPr>
            <w:tcW w:w="2430" w:type="dxa"/>
            <w:shd w:val="clear" w:color="auto" w:fill="auto"/>
          </w:tcPr>
          <w:p w14:paraId="5828A6BD" w14:textId="77777777" w:rsidR="0037683E" w:rsidRPr="0037683E" w:rsidRDefault="0037683E" w:rsidP="0037683E">
            <w:pPr>
              <w:rPr>
                <w:rFonts w:ascii="Verdana" w:hAnsi="Verdana" w:cs="Arial"/>
                <w:sz w:val="20"/>
                <w:szCs w:val="20"/>
              </w:rPr>
            </w:pPr>
            <w:r w:rsidRPr="0037683E">
              <w:rPr>
                <w:rFonts w:ascii="Verdana" w:hAnsi="Verdana" w:cs="Arial"/>
                <w:sz w:val="20"/>
                <w:szCs w:val="20"/>
              </w:rPr>
              <w:t xml:space="preserve">Livmarli (maralixibat) 9.5 mg/mL oral solution for cholestatic pruritus in patients ≥ 5 years with progressive familial intrahepatic cholestasis (PFIC) </w:t>
            </w:r>
          </w:p>
          <w:p w14:paraId="669EB86F" w14:textId="4CD8F573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72167175" w14:textId="39060B2F" w:rsidR="005641F0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NF, PPO – NF, IFP –NF, Medicaid - NF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620B8E5D" w14:textId="37E7E590" w:rsidR="005641F0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NF, PPO – NF, IFP –NF, Medicaid - NF</w:t>
            </w: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5641F0" w:rsidRPr="00852F8C" w14:paraId="0A6CE6FB" w14:textId="77777777" w:rsidTr="00296E12">
        <w:tc>
          <w:tcPr>
            <w:tcW w:w="2430" w:type="dxa"/>
            <w:shd w:val="clear" w:color="auto" w:fill="auto"/>
          </w:tcPr>
          <w:p w14:paraId="4F6BFF06" w14:textId="77777777" w:rsidR="0037683E" w:rsidRPr="0037683E" w:rsidRDefault="0037683E" w:rsidP="0037683E">
            <w:pPr>
              <w:rPr>
                <w:rFonts w:ascii="Verdana" w:hAnsi="Verdana" w:cs="Arial"/>
                <w:sz w:val="20"/>
                <w:szCs w:val="20"/>
              </w:rPr>
            </w:pPr>
            <w:r w:rsidRPr="0037683E">
              <w:rPr>
                <w:rFonts w:ascii="Verdana" w:hAnsi="Verdana" w:cs="Arial"/>
                <w:sz w:val="20"/>
                <w:szCs w:val="20"/>
              </w:rPr>
              <w:t xml:space="preserve">Xofluza (baloxavir marboxil) 40 &amp; 80 mg tablets for the treatment of acute uncomplicated influenza in healthy or high risk patients ≥ 5 years </w:t>
            </w:r>
          </w:p>
          <w:p w14:paraId="0648D180" w14:textId="3A4D2C59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323063A2" w14:textId="056B08DC" w:rsidR="000233CA" w:rsidRPr="0037683E" w:rsidRDefault="000233CA" w:rsidP="000233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Medicare – F, PPO – F, IFP – F, </w:t>
            </w:r>
            <w:r w:rsidRPr="0037683E">
              <w:rPr>
                <w:rFonts w:ascii="Verdana" w:hAnsi="Verdana"/>
                <w:sz w:val="20"/>
                <w:szCs w:val="20"/>
              </w:rPr>
              <w:t>Medicaid – NP</w:t>
            </w:r>
          </w:p>
          <w:p w14:paraId="3299D07A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7F00ED7E" w14:textId="77777777" w:rsidR="000233CA" w:rsidRPr="0037683E" w:rsidRDefault="000233CA" w:rsidP="000233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Medicare – F, PPO – F, IFP – F, </w:t>
            </w:r>
            <w:r w:rsidRPr="0037683E">
              <w:rPr>
                <w:rFonts w:ascii="Verdana" w:hAnsi="Verdana"/>
                <w:sz w:val="20"/>
                <w:szCs w:val="20"/>
              </w:rPr>
              <w:t>Medicaid – NP</w:t>
            </w:r>
          </w:p>
          <w:p w14:paraId="51DF9BE8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683E" w:rsidRPr="00852F8C" w14:paraId="1F2540B6" w14:textId="77777777" w:rsidTr="00296E12">
        <w:tc>
          <w:tcPr>
            <w:tcW w:w="2430" w:type="dxa"/>
            <w:shd w:val="clear" w:color="auto" w:fill="auto"/>
          </w:tcPr>
          <w:p w14:paraId="09B1E363" w14:textId="77777777" w:rsidR="0037683E" w:rsidRPr="0037683E" w:rsidRDefault="0037683E" w:rsidP="0037683E">
            <w:pPr>
              <w:rPr>
                <w:rFonts w:ascii="Verdana" w:hAnsi="Verdana" w:cs="Arial"/>
                <w:sz w:val="20"/>
                <w:szCs w:val="20"/>
              </w:rPr>
            </w:pPr>
            <w:r w:rsidRPr="0037683E">
              <w:rPr>
                <w:rFonts w:ascii="Verdana" w:hAnsi="Verdana" w:cs="Arial"/>
                <w:sz w:val="20"/>
                <w:szCs w:val="20"/>
              </w:rPr>
              <w:t xml:space="preserve">Xhance (fluticasone propionate) 93 mcg nasal spray for chronic rhinosinusitis without nasal polyps in adults </w:t>
            </w:r>
          </w:p>
          <w:p w14:paraId="207876C8" w14:textId="77777777" w:rsidR="0037683E" w:rsidRPr="00852F8C" w:rsidRDefault="0037683E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E19DC47" w14:textId="69872A15" w:rsidR="0037683E" w:rsidRPr="0037683E" w:rsidRDefault="000233CA" w:rsidP="003768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NF, PPO – NF, IFP –NF, </w:t>
            </w:r>
            <w:r w:rsidR="0037683E" w:rsidRPr="0037683E">
              <w:rPr>
                <w:rFonts w:ascii="Verdana" w:hAnsi="Verdana"/>
                <w:sz w:val="20"/>
                <w:szCs w:val="20"/>
              </w:rPr>
              <w:t>Medicaid - NP</w:t>
            </w:r>
          </w:p>
          <w:p w14:paraId="4871A781" w14:textId="77777777" w:rsidR="0037683E" w:rsidRPr="00F16A1F" w:rsidRDefault="0037683E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055626BA" w14:textId="77777777" w:rsidR="000233CA" w:rsidRPr="0037683E" w:rsidRDefault="000233CA" w:rsidP="000233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NF, PPO – NF, IFP –NF, </w:t>
            </w:r>
            <w:r w:rsidRPr="0037683E">
              <w:rPr>
                <w:rFonts w:ascii="Verdana" w:hAnsi="Verdana"/>
                <w:sz w:val="20"/>
                <w:szCs w:val="20"/>
              </w:rPr>
              <w:t>Medicaid - NP</w:t>
            </w:r>
          </w:p>
          <w:p w14:paraId="4B33D954" w14:textId="77777777" w:rsidR="0037683E" w:rsidRPr="0037683E" w:rsidRDefault="0037683E" w:rsidP="0037683E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7683E" w:rsidRPr="00852F8C" w14:paraId="01BAE903" w14:textId="77777777" w:rsidTr="00296E12">
        <w:tc>
          <w:tcPr>
            <w:tcW w:w="2430" w:type="dxa"/>
            <w:shd w:val="clear" w:color="auto" w:fill="auto"/>
          </w:tcPr>
          <w:p w14:paraId="5E79EA2B" w14:textId="77777777" w:rsidR="0037683E" w:rsidRPr="0037683E" w:rsidRDefault="0037683E" w:rsidP="0037683E">
            <w:pPr>
              <w:rPr>
                <w:rFonts w:ascii="Verdana" w:hAnsi="Verdana" w:cs="Arial"/>
                <w:sz w:val="20"/>
                <w:szCs w:val="20"/>
              </w:rPr>
            </w:pPr>
            <w:r w:rsidRPr="0037683E">
              <w:rPr>
                <w:rFonts w:ascii="Verdana" w:hAnsi="Verdana" w:cs="Arial"/>
                <w:sz w:val="20"/>
                <w:szCs w:val="20"/>
              </w:rPr>
              <w:t xml:space="preserve">Iclusig (ponatinib) 10, 15, 30, &amp; 45 mg tablets in combo with chemotherapy for Philadelphia chromosome-positive acute lymphoblastic leukemia (Ph+ ALL) </w:t>
            </w:r>
          </w:p>
          <w:p w14:paraId="529841FC" w14:textId="77777777" w:rsidR="0037683E" w:rsidRPr="00852F8C" w:rsidRDefault="0037683E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362833F1" w14:textId="2507A73F" w:rsidR="0037683E" w:rsidRPr="00F16A1F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F, PPO – F, IFP – F, Medicaid - F</w:t>
            </w:r>
            <w:r w:rsidRPr="00F16A1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3F5D84C2" w14:textId="31A7E492" w:rsidR="0037683E" w:rsidRPr="0037683E" w:rsidRDefault="000233CA" w:rsidP="0037683E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Medicare – F, PPO – F, IFP – F, Medicaid - F</w:t>
            </w:r>
            <w:r w:rsidRPr="00F16A1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0671F897" w14:textId="3AD8DE7D" w:rsidR="007D1D6A" w:rsidRPr="00852F8C" w:rsidRDefault="007D1D6A" w:rsidP="003628BE">
      <w:pPr>
        <w:rPr>
          <w:rFonts w:ascii="Verdana" w:eastAsia="Times New Roman" w:hAnsi="Verdana" w:cs="Arial"/>
          <w:sz w:val="20"/>
          <w:szCs w:val="20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4971A5" w:rsidRPr="00852F8C" w14:paraId="26EAAAF1" w14:textId="77777777" w:rsidTr="001C6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34B53623" w14:textId="79C97540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Generics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2520"/>
        <w:gridCol w:w="4262"/>
        <w:gridCol w:w="4135"/>
      </w:tblGrid>
      <w:tr w:rsidR="004971A5" w:rsidRPr="00852F8C" w14:paraId="3AC4146F" w14:textId="77777777" w:rsidTr="001C6EB3">
        <w:trPr>
          <w:trHeight w:val="566"/>
        </w:trPr>
        <w:tc>
          <w:tcPr>
            <w:tcW w:w="2520" w:type="dxa"/>
          </w:tcPr>
          <w:p w14:paraId="13ACAB4E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4262" w:type="dxa"/>
          </w:tcPr>
          <w:p w14:paraId="62349B50" w14:textId="204B2A01" w:rsidR="004971A5" w:rsidRPr="00852F8C" w:rsidRDefault="005641F0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Rationale/Alternative</w:t>
            </w:r>
          </w:p>
        </w:tc>
        <w:tc>
          <w:tcPr>
            <w:tcW w:w="4135" w:type="dxa"/>
          </w:tcPr>
          <w:p w14:paraId="17372CF3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tr w:rsidR="005641F0" w:rsidRPr="00852F8C" w14:paraId="5ACE4110" w14:textId="77777777" w:rsidTr="001C6EB3">
        <w:tc>
          <w:tcPr>
            <w:tcW w:w="2520" w:type="dxa"/>
            <w:shd w:val="clear" w:color="auto" w:fill="auto"/>
          </w:tcPr>
          <w:p w14:paraId="03503FB2" w14:textId="77777777" w:rsidR="0037683E" w:rsidRPr="0037683E" w:rsidRDefault="0037683E" w:rsidP="0037683E">
            <w:pPr>
              <w:rPr>
                <w:rFonts w:ascii="Verdana" w:hAnsi="Verdana" w:cs="Arial"/>
                <w:sz w:val="20"/>
                <w:szCs w:val="20"/>
              </w:rPr>
            </w:pPr>
            <w:r w:rsidRPr="0037683E">
              <w:rPr>
                <w:rFonts w:ascii="Verdana" w:hAnsi="Verdana" w:cs="Arial"/>
                <w:sz w:val="20"/>
                <w:szCs w:val="20"/>
              </w:rPr>
              <w:lastRenderedPageBreak/>
              <w:t>Bromsite (</w:t>
            </w:r>
            <w:r w:rsidRPr="0037683E">
              <w:rPr>
                <w:rFonts w:ascii="Verdana" w:hAnsi="Verdana" w:cs="Arial"/>
                <w:b/>
                <w:bCs/>
                <w:sz w:val="20"/>
                <w:szCs w:val="20"/>
              </w:rPr>
              <w:t>bromfenac</w:t>
            </w:r>
            <w:r w:rsidRPr="0037683E">
              <w:rPr>
                <w:rFonts w:ascii="Verdana" w:hAnsi="Verdana" w:cs="Arial"/>
                <w:sz w:val="20"/>
                <w:szCs w:val="20"/>
              </w:rPr>
              <w:t xml:space="preserve">) 0.075% ophthalmic solution for postoperative inflammation </w:t>
            </w:r>
          </w:p>
          <w:p w14:paraId="0F50BBF8" w14:textId="64FF52ED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2" w:type="dxa"/>
            <w:shd w:val="clear" w:color="auto" w:fill="auto"/>
          </w:tcPr>
          <w:p w14:paraId="52F05EBB" w14:textId="77777777" w:rsid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>Brand is NF for all LOB. Generic is only 10% less expensive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E1C70B5" w14:textId="6AC9989B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>Generic is PDL controlled</w:t>
            </w:r>
          </w:p>
          <w:p w14:paraId="2747E42C" w14:textId="5ACC26F4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0C0945FA" w14:textId="43860C46" w:rsidR="005641F0" w:rsidRPr="00154175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PPO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IFP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Medicaid -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NP</w:t>
            </w:r>
          </w:p>
        </w:tc>
      </w:tr>
      <w:tr w:rsidR="005641F0" w:rsidRPr="00852F8C" w14:paraId="153DEB7E" w14:textId="77777777" w:rsidTr="001C6EB3">
        <w:tc>
          <w:tcPr>
            <w:tcW w:w="2520" w:type="dxa"/>
            <w:shd w:val="clear" w:color="auto" w:fill="auto"/>
          </w:tcPr>
          <w:p w14:paraId="581B5237" w14:textId="77777777" w:rsidR="0037683E" w:rsidRPr="0037683E" w:rsidRDefault="0037683E" w:rsidP="0037683E">
            <w:pPr>
              <w:rPr>
                <w:rFonts w:ascii="Verdana" w:hAnsi="Verdana" w:cs="Arial"/>
                <w:sz w:val="20"/>
                <w:szCs w:val="20"/>
              </w:rPr>
            </w:pPr>
            <w:r w:rsidRPr="0037683E">
              <w:rPr>
                <w:rFonts w:ascii="Verdana" w:hAnsi="Verdana" w:cs="Arial"/>
                <w:sz w:val="20"/>
                <w:szCs w:val="20"/>
              </w:rPr>
              <w:t>Pradaxa (</w:t>
            </w:r>
            <w:r w:rsidRPr="0037683E">
              <w:rPr>
                <w:rFonts w:ascii="Verdana" w:hAnsi="Verdana" w:cs="Arial"/>
                <w:b/>
                <w:bCs/>
                <w:sz w:val="20"/>
                <w:szCs w:val="20"/>
              </w:rPr>
              <w:t>dabigatran</w:t>
            </w:r>
            <w:r w:rsidRPr="0037683E">
              <w:rPr>
                <w:rFonts w:ascii="Verdana" w:hAnsi="Verdana" w:cs="Arial"/>
                <w:sz w:val="20"/>
                <w:szCs w:val="20"/>
              </w:rPr>
              <w:t xml:space="preserve">) 110 mg capsule for anticoagulation </w:t>
            </w:r>
          </w:p>
          <w:p w14:paraId="0FDA7E69" w14:textId="28C7B7DB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2" w:type="dxa"/>
            <w:shd w:val="clear" w:color="auto" w:fill="auto"/>
          </w:tcPr>
          <w:p w14:paraId="019DBC74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>This strength not commonly used compared to 75mg and 150mg. PDL controlled</w:t>
            </w:r>
          </w:p>
          <w:p w14:paraId="4C302C2E" w14:textId="321D4AB4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6F1BB6BA" w14:textId="1CE33A75" w:rsidR="005641F0" w:rsidRPr="00154175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PPO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IFP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Medicaid -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NP</w:t>
            </w:r>
          </w:p>
        </w:tc>
      </w:tr>
      <w:tr w:rsidR="005641F0" w:rsidRPr="00852F8C" w14:paraId="466104D0" w14:textId="77777777" w:rsidTr="001C6EB3">
        <w:tc>
          <w:tcPr>
            <w:tcW w:w="2520" w:type="dxa"/>
            <w:shd w:val="clear" w:color="auto" w:fill="auto"/>
          </w:tcPr>
          <w:p w14:paraId="5B81815E" w14:textId="77777777" w:rsidR="0037683E" w:rsidRPr="0037683E" w:rsidRDefault="0037683E" w:rsidP="0037683E">
            <w:pPr>
              <w:rPr>
                <w:rFonts w:ascii="Verdana" w:hAnsi="Verdana" w:cs="Arial"/>
                <w:sz w:val="20"/>
                <w:szCs w:val="20"/>
              </w:rPr>
            </w:pPr>
            <w:r w:rsidRPr="0037683E">
              <w:rPr>
                <w:rFonts w:ascii="Verdana" w:hAnsi="Verdana" w:cs="Arial"/>
                <w:sz w:val="20"/>
                <w:szCs w:val="20"/>
              </w:rPr>
              <w:t>Emflaza (</w:t>
            </w:r>
            <w:r w:rsidRPr="0037683E">
              <w:rPr>
                <w:rFonts w:ascii="Verdana" w:hAnsi="Verdana" w:cs="Arial"/>
                <w:b/>
                <w:bCs/>
                <w:sz w:val="20"/>
                <w:szCs w:val="20"/>
              </w:rPr>
              <w:t>deflazacort</w:t>
            </w:r>
            <w:r w:rsidRPr="0037683E">
              <w:rPr>
                <w:rFonts w:ascii="Verdana" w:hAnsi="Verdana" w:cs="Arial"/>
                <w:sz w:val="20"/>
                <w:szCs w:val="20"/>
              </w:rPr>
              <w:t xml:space="preserve">) 6, 18, 30, &amp; 36 mg oral tablets for Duchenne muscular dystrophy </w:t>
            </w:r>
          </w:p>
          <w:p w14:paraId="471AAA8F" w14:textId="10E50595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2" w:type="dxa"/>
            <w:shd w:val="clear" w:color="auto" w:fill="auto"/>
          </w:tcPr>
          <w:p w14:paraId="03DC3B64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>High cost. Minor differences compared to prednisone</w:t>
            </w:r>
          </w:p>
          <w:p w14:paraId="650E1CBE" w14:textId="00BB767C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04A2D437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>NF all lines of business</w:t>
            </w:r>
          </w:p>
          <w:p w14:paraId="69719B55" w14:textId="547AA93D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097E7538" w14:textId="77777777" w:rsidTr="001C6EB3">
        <w:tc>
          <w:tcPr>
            <w:tcW w:w="2520" w:type="dxa"/>
            <w:shd w:val="clear" w:color="auto" w:fill="auto"/>
          </w:tcPr>
          <w:p w14:paraId="6CE2D69A" w14:textId="77777777" w:rsidR="0037683E" w:rsidRPr="0037683E" w:rsidRDefault="0037683E" w:rsidP="0037683E">
            <w:pPr>
              <w:rPr>
                <w:rFonts w:ascii="Verdana" w:hAnsi="Verdana" w:cs="Arial"/>
                <w:sz w:val="20"/>
                <w:szCs w:val="20"/>
              </w:rPr>
            </w:pPr>
            <w:r w:rsidRPr="0037683E">
              <w:rPr>
                <w:rFonts w:ascii="Verdana" w:hAnsi="Verdana" w:cs="Arial"/>
                <w:sz w:val="20"/>
                <w:szCs w:val="20"/>
              </w:rPr>
              <w:t>Alrex (</w:t>
            </w:r>
            <w:r w:rsidRPr="0037683E">
              <w:rPr>
                <w:rFonts w:ascii="Verdana" w:hAnsi="Verdana" w:cs="Arial"/>
                <w:b/>
                <w:bCs/>
                <w:sz w:val="20"/>
                <w:szCs w:val="20"/>
              </w:rPr>
              <w:t>loteprednol</w:t>
            </w:r>
            <w:r w:rsidRPr="0037683E">
              <w:rPr>
                <w:rFonts w:ascii="Verdana" w:hAnsi="Verdana" w:cs="Arial"/>
                <w:sz w:val="20"/>
                <w:szCs w:val="20"/>
              </w:rPr>
              <w:t xml:space="preserve">) 0.2% ophthalmic suspension for seasonal allergic conjunctivitis </w:t>
            </w:r>
          </w:p>
          <w:p w14:paraId="3DEBB748" w14:textId="3EB9D4DA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2" w:type="dxa"/>
            <w:shd w:val="clear" w:color="auto" w:fill="auto"/>
          </w:tcPr>
          <w:p w14:paraId="46D97FCA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>Brand is NF for all LOB. Generic is only 10% less expensive</w:t>
            </w:r>
          </w:p>
          <w:p w14:paraId="2108479E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>Generic is PDL controlled</w:t>
            </w:r>
          </w:p>
          <w:p w14:paraId="16E31F99" w14:textId="3D13E15F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223FED47" w14:textId="57054B68" w:rsidR="005641F0" w:rsidRPr="00154175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PPO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IFP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Medicaid -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NP</w:t>
            </w:r>
          </w:p>
        </w:tc>
      </w:tr>
      <w:tr w:rsidR="005641F0" w:rsidRPr="00852F8C" w14:paraId="22504A76" w14:textId="77777777" w:rsidTr="001C6EB3">
        <w:tc>
          <w:tcPr>
            <w:tcW w:w="2520" w:type="dxa"/>
            <w:shd w:val="clear" w:color="auto" w:fill="auto"/>
          </w:tcPr>
          <w:p w14:paraId="3C1A1878" w14:textId="77777777" w:rsidR="0037683E" w:rsidRPr="0037683E" w:rsidRDefault="0037683E" w:rsidP="0037683E">
            <w:pPr>
              <w:rPr>
                <w:rFonts w:ascii="Verdana" w:hAnsi="Verdana" w:cs="Arial"/>
                <w:sz w:val="20"/>
                <w:szCs w:val="20"/>
              </w:rPr>
            </w:pPr>
            <w:r w:rsidRPr="0037683E">
              <w:rPr>
                <w:rFonts w:ascii="Verdana" w:hAnsi="Verdana" w:cs="Arial"/>
                <w:sz w:val="20"/>
                <w:szCs w:val="20"/>
              </w:rPr>
              <w:t>Thiola EC (</w:t>
            </w:r>
            <w:r w:rsidRPr="0037683E">
              <w:rPr>
                <w:rFonts w:ascii="Verdana" w:hAnsi="Verdana" w:cs="Arial"/>
                <w:b/>
                <w:bCs/>
                <w:sz w:val="20"/>
                <w:szCs w:val="20"/>
              </w:rPr>
              <w:t>tiopronin</w:t>
            </w:r>
            <w:r w:rsidRPr="0037683E">
              <w:rPr>
                <w:rFonts w:ascii="Verdana" w:hAnsi="Verdana" w:cs="Arial"/>
                <w:sz w:val="20"/>
                <w:szCs w:val="20"/>
              </w:rPr>
              <w:t xml:space="preserve">) 100 mg &amp; 300 mg delayed release tablets for homozygous cystinuria </w:t>
            </w:r>
          </w:p>
          <w:p w14:paraId="69BBF7BE" w14:textId="566B365A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2" w:type="dxa"/>
            <w:shd w:val="clear" w:color="auto" w:fill="auto"/>
          </w:tcPr>
          <w:p w14:paraId="7FAE9E02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>Brand is NF for all LOB. No cost savings with generic.</w:t>
            </w:r>
          </w:p>
          <w:p w14:paraId="6B1C1B92" w14:textId="7A2772C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5D7481D6" w14:textId="77777777" w:rsidR="0037683E" w:rsidRPr="0037683E" w:rsidRDefault="0037683E" w:rsidP="0037683E">
            <w:pPr>
              <w:rPr>
                <w:rFonts w:ascii="Verdana" w:hAnsi="Verdana"/>
                <w:sz w:val="20"/>
                <w:szCs w:val="20"/>
              </w:rPr>
            </w:pPr>
            <w:r w:rsidRPr="0037683E">
              <w:rPr>
                <w:rFonts w:ascii="Verdana" w:hAnsi="Verdana"/>
                <w:sz w:val="20"/>
                <w:szCs w:val="20"/>
              </w:rPr>
              <w:t>NF all lines of business</w:t>
            </w:r>
          </w:p>
          <w:p w14:paraId="305AB14B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5E1DB3DE" w14:textId="77777777" w:rsidTr="001C6EB3">
        <w:tc>
          <w:tcPr>
            <w:tcW w:w="2520" w:type="dxa"/>
            <w:shd w:val="clear" w:color="auto" w:fill="auto"/>
          </w:tcPr>
          <w:p w14:paraId="43590DFC" w14:textId="77777777" w:rsidR="001B131C" w:rsidRPr="001B131C" w:rsidRDefault="001B131C" w:rsidP="001B131C">
            <w:pPr>
              <w:rPr>
                <w:rFonts w:ascii="Verdana" w:hAnsi="Verdana" w:cs="Arial"/>
                <w:sz w:val="20"/>
                <w:szCs w:val="20"/>
              </w:rPr>
            </w:pPr>
            <w:r w:rsidRPr="001B131C">
              <w:rPr>
                <w:rFonts w:ascii="Verdana" w:hAnsi="Verdana" w:cs="Arial"/>
                <w:sz w:val="20"/>
                <w:szCs w:val="20"/>
              </w:rPr>
              <w:t>Rectiv (</w:t>
            </w:r>
            <w:r w:rsidRPr="001B131C">
              <w:rPr>
                <w:rFonts w:ascii="Verdana" w:hAnsi="Verdana" w:cs="Arial"/>
                <w:b/>
                <w:bCs/>
                <w:sz w:val="20"/>
                <w:szCs w:val="20"/>
              </w:rPr>
              <w:t>nitroglycerin</w:t>
            </w:r>
            <w:r w:rsidRPr="001B131C">
              <w:rPr>
                <w:rFonts w:ascii="Verdana" w:hAnsi="Verdana" w:cs="Arial"/>
                <w:sz w:val="20"/>
                <w:szCs w:val="20"/>
              </w:rPr>
              <w:t xml:space="preserve">) 0.4% rectal ointment for chronic anal fissure </w:t>
            </w:r>
          </w:p>
          <w:p w14:paraId="50A5CF25" w14:textId="6A10F07C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2" w:type="dxa"/>
            <w:shd w:val="clear" w:color="auto" w:fill="auto"/>
          </w:tcPr>
          <w:p w14:paraId="62786925" w14:textId="77777777" w:rsidR="001B131C" w:rsidRPr="001B131C" w:rsidRDefault="001B131C" w:rsidP="001B131C">
            <w:pPr>
              <w:rPr>
                <w:rFonts w:ascii="Verdana" w:hAnsi="Verdana"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>Brand is covered on Medicaid</w:t>
            </w:r>
          </w:p>
          <w:p w14:paraId="0408B0A3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5C6D09CC" w14:textId="6941EC62" w:rsidR="005641F0" w:rsidRPr="00154175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F, PPO – F, IFP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Medicaid -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F</w:t>
            </w:r>
          </w:p>
        </w:tc>
      </w:tr>
      <w:tr w:rsidR="005641F0" w:rsidRPr="00852F8C" w14:paraId="0FDE0658" w14:textId="77777777" w:rsidTr="001C6EB3">
        <w:tc>
          <w:tcPr>
            <w:tcW w:w="2520" w:type="dxa"/>
            <w:shd w:val="clear" w:color="auto" w:fill="auto"/>
          </w:tcPr>
          <w:p w14:paraId="6F1935DC" w14:textId="77777777" w:rsidR="001B131C" w:rsidRPr="001B131C" w:rsidRDefault="001B131C" w:rsidP="001B131C">
            <w:pPr>
              <w:rPr>
                <w:rFonts w:ascii="Verdana" w:hAnsi="Verdana" w:cs="Arial"/>
                <w:sz w:val="20"/>
                <w:szCs w:val="20"/>
              </w:rPr>
            </w:pPr>
            <w:r w:rsidRPr="001B131C">
              <w:rPr>
                <w:rFonts w:ascii="Verdana" w:hAnsi="Verdana" w:cs="Arial"/>
                <w:sz w:val="20"/>
                <w:szCs w:val="20"/>
              </w:rPr>
              <w:t>Lotemax (</w:t>
            </w:r>
            <w:r w:rsidRPr="001B131C">
              <w:rPr>
                <w:rFonts w:ascii="Verdana" w:hAnsi="Verdana" w:cs="Arial"/>
                <w:b/>
                <w:bCs/>
                <w:sz w:val="20"/>
                <w:szCs w:val="20"/>
              </w:rPr>
              <w:t>loteprednol</w:t>
            </w:r>
            <w:r w:rsidRPr="001B131C">
              <w:rPr>
                <w:rFonts w:ascii="Verdana" w:hAnsi="Verdana" w:cs="Arial"/>
                <w:sz w:val="20"/>
                <w:szCs w:val="20"/>
              </w:rPr>
              <w:t xml:space="preserve">) 0.5% ophthalmic gel for postoperative inflammation and pain </w:t>
            </w:r>
          </w:p>
          <w:p w14:paraId="4B24597A" w14:textId="26E6C46D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2" w:type="dxa"/>
            <w:shd w:val="clear" w:color="auto" w:fill="auto"/>
          </w:tcPr>
          <w:p w14:paraId="4C896B52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4EE70600" w14:textId="5389E55F" w:rsidR="005641F0" w:rsidRPr="00154175" w:rsidRDefault="000233CA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F, PPO – F, IFP – F, Medicaid -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NP</w:t>
            </w:r>
          </w:p>
        </w:tc>
      </w:tr>
    </w:tbl>
    <w:p w14:paraId="1851FA68" w14:textId="77777777" w:rsidR="004971A5" w:rsidRPr="00852F8C" w:rsidRDefault="004971A5" w:rsidP="003628BE">
      <w:pPr>
        <w:rPr>
          <w:rFonts w:ascii="Verdana" w:eastAsia="Times New Roman" w:hAnsi="Verdana" w:cs="Arial"/>
          <w:sz w:val="20"/>
          <w:szCs w:val="20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153FC2" w:rsidRPr="00852F8C" w14:paraId="05210A8E" w14:textId="77777777" w:rsidTr="00D90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54B37F21" w14:textId="56288FB6" w:rsidR="00153FC2" w:rsidRPr="00852F8C" w:rsidRDefault="001B131C" w:rsidP="005247AA">
            <w:pPr>
              <w:spacing w:after="240"/>
              <w:rPr>
                <w:rFonts w:ascii="Verdana" w:eastAsia="Times New Roman" w:hAnsi="Verdana" w:cs="Arial"/>
                <w:b w:val="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New or Expanded Formulations</w:t>
            </w:r>
          </w:p>
        </w:tc>
      </w:tr>
    </w:tbl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2875"/>
        <w:gridCol w:w="4073"/>
        <w:gridCol w:w="3942"/>
      </w:tblGrid>
      <w:tr w:rsidR="004F2F90" w:rsidRPr="00852F8C" w14:paraId="52551265" w14:textId="77777777" w:rsidTr="004471A0">
        <w:tc>
          <w:tcPr>
            <w:tcW w:w="2875" w:type="dxa"/>
          </w:tcPr>
          <w:p w14:paraId="4C5CCEB4" w14:textId="6DDE8298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 xml:space="preserve">Drug </w:t>
            </w:r>
          </w:p>
        </w:tc>
        <w:tc>
          <w:tcPr>
            <w:tcW w:w="4073" w:type="dxa"/>
          </w:tcPr>
          <w:p w14:paraId="1F72BFB6" w14:textId="4A88C9B1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Rationale/Alternative</w:t>
            </w:r>
          </w:p>
        </w:tc>
        <w:tc>
          <w:tcPr>
            <w:tcW w:w="3942" w:type="dxa"/>
          </w:tcPr>
          <w:p w14:paraId="10316750" w14:textId="4C2B2811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Recommendation</w:t>
            </w:r>
          </w:p>
        </w:tc>
      </w:tr>
      <w:tr w:rsidR="005641F0" w:rsidRPr="00852F8C" w14:paraId="137DAD59" w14:textId="77777777" w:rsidTr="004471A0">
        <w:tc>
          <w:tcPr>
            <w:tcW w:w="2875" w:type="dxa"/>
            <w:shd w:val="clear" w:color="auto" w:fill="auto"/>
          </w:tcPr>
          <w:p w14:paraId="24AF9E96" w14:textId="260E9B4E" w:rsidR="005641F0" w:rsidRPr="00E7797F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bookmarkStart w:id="1" w:name="_Hlk93665752"/>
            <w:r w:rsidRPr="001B131C">
              <w:rPr>
                <w:rFonts w:ascii="Verdana" w:hAnsi="Verdana"/>
                <w:sz w:val="20"/>
                <w:szCs w:val="20"/>
              </w:rPr>
              <w:t>Zoryve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 (roflumilast) 0.3% foam for seborrheic dermatitis</w:t>
            </w:r>
          </w:p>
        </w:tc>
        <w:tc>
          <w:tcPr>
            <w:tcW w:w="4073" w:type="dxa"/>
            <w:shd w:val="clear" w:color="auto" w:fill="auto"/>
          </w:tcPr>
          <w:p w14:paraId="00639792" w14:textId="1968B836" w:rsidR="005641F0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Topical antifungals and topical corticosteroids are most commonly used for seborrheic dermatitis</w:t>
            </w:r>
          </w:p>
        </w:tc>
        <w:tc>
          <w:tcPr>
            <w:tcW w:w="3942" w:type="dxa"/>
            <w:shd w:val="clear" w:color="auto" w:fill="auto"/>
          </w:tcPr>
          <w:p w14:paraId="2FAC1406" w14:textId="77777777" w:rsidR="001B131C" w:rsidRPr="001B131C" w:rsidRDefault="001B131C" w:rsidP="001B131C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1B131C">
              <w:rPr>
                <w:rFonts w:ascii="Verdana" w:eastAsia="Times New Roman" w:hAnsi="Verdana" w:cs="Arial"/>
                <w:bCs/>
                <w:sz w:val="20"/>
                <w:szCs w:val="20"/>
              </w:rPr>
              <w:t>NF: all lines of business</w:t>
            </w:r>
          </w:p>
          <w:p w14:paraId="07BA5C90" w14:textId="641A8D66" w:rsidR="005641F0" w:rsidRPr="001B131C" w:rsidRDefault="005641F0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</w:tr>
      <w:tr w:rsidR="005641F0" w:rsidRPr="00852F8C" w14:paraId="681BFD15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576FF78D" w14:textId="69788093" w:rsidR="005641F0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>Omnipod 5</w:t>
            </w:r>
            <w:r w:rsidRPr="001B131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G7 intro kit &amp; pods for insulin delivery </w:t>
            </w:r>
          </w:p>
        </w:tc>
        <w:tc>
          <w:tcPr>
            <w:tcW w:w="4073" w:type="dxa"/>
            <w:shd w:val="clear" w:color="auto" w:fill="auto"/>
          </w:tcPr>
          <w:p w14:paraId="13D1B470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Allows connectivity with Dexcom G7</w:t>
            </w:r>
          </w:p>
          <w:p w14:paraId="7D78D112" w14:textId="691BA794" w:rsidR="005641F0" w:rsidRPr="001B131C" w:rsidRDefault="005641F0" w:rsidP="001B131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14:paraId="136FEB8E" w14:textId="77777777" w:rsidR="001B131C" w:rsidRPr="001B131C" w:rsidRDefault="001B131C" w:rsidP="001B131C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1B131C">
              <w:rPr>
                <w:rFonts w:ascii="Verdana" w:eastAsia="Times New Roman" w:hAnsi="Verdana" w:cs="Arial"/>
                <w:bCs/>
                <w:sz w:val="20"/>
                <w:szCs w:val="20"/>
              </w:rPr>
              <w:t>F: all lines of business</w:t>
            </w:r>
          </w:p>
          <w:p w14:paraId="1EF996D4" w14:textId="69AF7C7C" w:rsidR="005641F0" w:rsidRPr="001B131C" w:rsidRDefault="005641F0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</w:tr>
      <w:tr w:rsidR="005641F0" w:rsidRPr="00852F8C" w14:paraId="541B6C63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5E3EEF78" w14:textId="6DBA7B07" w:rsidR="005641F0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lastRenderedPageBreak/>
              <w:t xml:space="preserve">Alvaiz 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(eltrombopag choline) 9, 18, 36, &amp; 54 mg tablets for chronic immune thrombocytopenia (ITP), thrombocytopenia in hepatitis C, &amp; severe aplastic anemia </w:t>
            </w:r>
          </w:p>
        </w:tc>
        <w:tc>
          <w:tcPr>
            <w:tcW w:w="4073" w:type="dxa"/>
            <w:shd w:val="clear" w:color="auto" w:fill="auto"/>
          </w:tcPr>
          <w:p w14:paraId="72E5084A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No advantage over Promacta which is on formulary with an expected generic in the next few years.</w:t>
            </w:r>
          </w:p>
          <w:p w14:paraId="2F75AE5A" w14:textId="349DCDD5" w:rsidR="005641F0" w:rsidRPr="001B131C" w:rsidRDefault="005641F0" w:rsidP="001B131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14:paraId="53AF8E35" w14:textId="77777777" w:rsidR="001B131C" w:rsidRPr="001B131C" w:rsidRDefault="001B131C" w:rsidP="001B131C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1B131C">
              <w:rPr>
                <w:rFonts w:ascii="Verdana" w:eastAsia="Times New Roman" w:hAnsi="Verdana" w:cs="Arial"/>
                <w:bCs/>
                <w:sz w:val="20"/>
                <w:szCs w:val="20"/>
              </w:rPr>
              <w:t>NF: all lines of business</w:t>
            </w:r>
          </w:p>
          <w:p w14:paraId="50AE91C7" w14:textId="0C47999C" w:rsidR="005641F0" w:rsidRPr="001B131C" w:rsidRDefault="005641F0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</w:tr>
      <w:tr w:rsidR="001B131C" w:rsidRPr="00852F8C" w14:paraId="247AF043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575FB9A3" w14:textId="124EA271" w:rsidR="001B131C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>Eohilia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 (budesonide) 2 mg/10 mL oral suspension for eosinophilic esophagitis (EoE) </w:t>
            </w:r>
          </w:p>
        </w:tc>
        <w:tc>
          <w:tcPr>
            <w:tcW w:w="4073" w:type="dxa"/>
            <w:shd w:val="clear" w:color="auto" w:fill="auto"/>
          </w:tcPr>
          <w:p w14:paraId="42F41B61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Significantly higher cost compared to current treatment option with budesonide respules</w:t>
            </w:r>
          </w:p>
          <w:p w14:paraId="0E617E88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14:paraId="11E2F63C" w14:textId="77777777" w:rsidR="001B131C" w:rsidRPr="001B131C" w:rsidRDefault="001B131C" w:rsidP="001B131C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1B131C">
              <w:rPr>
                <w:rFonts w:ascii="Verdana" w:eastAsia="Times New Roman" w:hAnsi="Verdana" w:cs="Arial"/>
                <w:bCs/>
                <w:sz w:val="20"/>
                <w:szCs w:val="20"/>
              </w:rPr>
              <w:t>NF: all lines of business</w:t>
            </w:r>
          </w:p>
          <w:p w14:paraId="4D3FD27D" w14:textId="77777777" w:rsidR="001B131C" w:rsidRPr="001B131C" w:rsidRDefault="001B131C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</w:tr>
      <w:tr w:rsidR="001B131C" w:rsidRPr="00852F8C" w14:paraId="0E5C66FC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41164AB6" w14:textId="0F2ED283" w:rsidR="001B131C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>CVS/Cordavis Humira</w:t>
            </w:r>
            <w:r w:rsidRPr="001B131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(adalimumab) 80 mg/0.8 mL pen, 40 mg/0.4 mL pen and PFS, 20 mg/0.2 mL PFS, 10 mg/0.1 mL PFS for various conditions </w:t>
            </w:r>
          </w:p>
        </w:tc>
        <w:tc>
          <w:tcPr>
            <w:tcW w:w="4073" w:type="dxa"/>
            <w:shd w:val="clear" w:color="auto" w:fill="auto"/>
          </w:tcPr>
          <w:p w14:paraId="277AB71B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No benefit to adding for any line of business. </w:t>
            </w:r>
          </w:p>
          <w:p w14:paraId="0F3CF72B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14:paraId="5536ADB7" w14:textId="77777777" w:rsidR="001B131C" w:rsidRPr="001B131C" w:rsidRDefault="001B131C" w:rsidP="001B131C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1B131C">
              <w:rPr>
                <w:rFonts w:ascii="Verdana" w:eastAsia="Times New Roman" w:hAnsi="Verdana" w:cs="Arial"/>
                <w:bCs/>
                <w:sz w:val="20"/>
                <w:szCs w:val="20"/>
              </w:rPr>
              <w:t>NF: all lines of business</w:t>
            </w:r>
          </w:p>
          <w:p w14:paraId="30E2F84D" w14:textId="77777777" w:rsidR="001B131C" w:rsidRPr="001B131C" w:rsidRDefault="001B131C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</w:tr>
      <w:tr w:rsidR="001B131C" w:rsidRPr="00852F8C" w14:paraId="46B5BCEC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6037FCAF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 xml:space="preserve">Xolair 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(omalizumab) 75 mg/0.5 mL, 150 mg/1 mL, &amp; 300 mg/2 mL auto-injectors and 300 mg/2 mL prefilled syringe for asthma, chronic spontaneous urticaria, &amp; IgE-mediated food allergy </w:t>
            </w:r>
          </w:p>
          <w:p w14:paraId="3EFC32EE" w14:textId="77777777" w:rsidR="001B131C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73" w:type="dxa"/>
            <w:shd w:val="clear" w:color="auto" w:fill="auto"/>
          </w:tcPr>
          <w:p w14:paraId="6C3AAC93" w14:textId="4EE977B8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New dosage forms for omalizumab were launched, including auto-injectors in the 75 mg/0.5 mL and 150 mg/1 mL concentrations, adding to existing prefilled syringes in those strengths. A new 300 mg/2 mL concentration was also launched in both prefilled syringe and auto-injector forms. </w:t>
            </w:r>
          </w:p>
        </w:tc>
        <w:tc>
          <w:tcPr>
            <w:tcW w:w="3942" w:type="dxa"/>
            <w:shd w:val="clear" w:color="auto" w:fill="auto"/>
          </w:tcPr>
          <w:p w14:paraId="6BC04BBB" w14:textId="77777777" w:rsidR="001B131C" w:rsidRPr="001B131C" w:rsidRDefault="001B131C" w:rsidP="001B131C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1B131C">
              <w:rPr>
                <w:rFonts w:ascii="Verdana" w:eastAsia="Times New Roman" w:hAnsi="Verdana" w:cs="Arial"/>
                <w:bCs/>
                <w:sz w:val="20"/>
                <w:szCs w:val="20"/>
              </w:rPr>
              <w:t>F: all lines of business</w:t>
            </w:r>
          </w:p>
          <w:p w14:paraId="21FB749F" w14:textId="77777777" w:rsidR="001B131C" w:rsidRPr="001B131C" w:rsidRDefault="001B131C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</w:tr>
      <w:tr w:rsidR="001B131C" w:rsidRPr="00852F8C" w14:paraId="4CA27643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4CF13195" w14:textId="6DA2B265" w:rsidR="001B131C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>Hemlibra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 (emicizumab) 12 mg/0.4 mL subcutaneous injection for hemophilia </w:t>
            </w:r>
          </w:p>
        </w:tc>
        <w:tc>
          <w:tcPr>
            <w:tcW w:w="4073" w:type="dxa"/>
            <w:shd w:val="clear" w:color="auto" w:fill="auto"/>
          </w:tcPr>
          <w:p w14:paraId="4FBAD7B9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New strength added to formulary</w:t>
            </w:r>
          </w:p>
          <w:p w14:paraId="5C07F665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14:paraId="3A29D6A5" w14:textId="77777777" w:rsidR="001B131C" w:rsidRPr="001B131C" w:rsidRDefault="001B131C" w:rsidP="001B131C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1B131C">
              <w:rPr>
                <w:rFonts w:ascii="Verdana" w:eastAsia="Times New Roman" w:hAnsi="Verdana" w:cs="Arial"/>
                <w:bCs/>
                <w:sz w:val="20"/>
                <w:szCs w:val="20"/>
              </w:rPr>
              <w:t>F: all lines of business</w:t>
            </w:r>
          </w:p>
          <w:p w14:paraId="388475A8" w14:textId="77777777" w:rsidR="001B131C" w:rsidRPr="001B131C" w:rsidRDefault="001B131C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</w:tr>
      <w:tr w:rsidR="001B131C" w:rsidRPr="00852F8C" w14:paraId="0D9BB6FA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536A411E" w14:textId="6644839A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 xml:space="preserve">Yuflyma 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>(adalimumab) 20 mg/0.2 mL for various inflammatory condition</w:t>
            </w:r>
          </w:p>
        </w:tc>
        <w:tc>
          <w:tcPr>
            <w:tcW w:w="4073" w:type="dxa"/>
            <w:shd w:val="clear" w:color="auto" w:fill="auto"/>
          </w:tcPr>
          <w:p w14:paraId="2E50F750" w14:textId="15A2C3C1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PDL controlled. Not adding this biosimilar to other lines of business at this time.</w:t>
            </w:r>
          </w:p>
        </w:tc>
        <w:tc>
          <w:tcPr>
            <w:tcW w:w="3942" w:type="dxa"/>
            <w:shd w:val="clear" w:color="auto" w:fill="auto"/>
          </w:tcPr>
          <w:p w14:paraId="732C829D" w14:textId="3DBEC6EB" w:rsidR="000233CA" w:rsidRPr="001B131C" w:rsidRDefault="000233CA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PPO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IFP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Medicaid -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NP</w:t>
            </w:r>
          </w:p>
        </w:tc>
      </w:tr>
      <w:tr w:rsidR="001B131C" w:rsidRPr="00852F8C" w14:paraId="3A1148A0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5FE1FB5A" w14:textId="203C8EB8" w:rsidR="001B131C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 xml:space="preserve">Sovuna 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(hydroxychloroquine) 200 &amp; 300 mg tablets for rheumatoid arthritis </w:t>
            </w:r>
          </w:p>
        </w:tc>
        <w:tc>
          <w:tcPr>
            <w:tcW w:w="4073" w:type="dxa"/>
            <w:shd w:val="clear" w:color="auto" w:fill="auto"/>
          </w:tcPr>
          <w:p w14:paraId="48D6C4C7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Branded hydroxychloroquine. Generic is &lt;$1 per tab vs $16.65 for Sovuna</w:t>
            </w:r>
          </w:p>
          <w:p w14:paraId="7B748708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14:paraId="115ACA42" w14:textId="77777777" w:rsidR="001B131C" w:rsidRPr="001B131C" w:rsidRDefault="001B131C" w:rsidP="001B131C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1B131C">
              <w:rPr>
                <w:rFonts w:ascii="Verdana" w:eastAsia="Times New Roman" w:hAnsi="Verdana" w:cs="Arial"/>
                <w:bCs/>
                <w:sz w:val="20"/>
                <w:szCs w:val="20"/>
              </w:rPr>
              <w:t>NF: all lines of business</w:t>
            </w:r>
          </w:p>
          <w:p w14:paraId="406D3EDC" w14:textId="77777777" w:rsidR="001B131C" w:rsidRPr="001B131C" w:rsidRDefault="001B131C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</w:tr>
      <w:tr w:rsidR="001B131C" w:rsidRPr="00852F8C" w14:paraId="41A86435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69C2795C" w14:textId="4E3BE6E2" w:rsidR="001B131C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>RiVive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 (naloxone) 3 mg/0.1 mL nasal spray for opioid overdose </w:t>
            </w:r>
          </w:p>
        </w:tc>
        <w:tc>
          <w:tcPr>
            <w:tcW w:w="4073" w:type="dxa"/>
            <w:shd w:val="clear" w:color="auto" w:fill="auto"/>
          </w:tcPr>
          <w:p w14:paraId="37131631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Adding another OTC naloxone option for IFP and Medicaid.</w:t>
            </w:r>
          </w:p>
          <w:p w14:paraId="64B6A8E5" w14:textId="2D493FB4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Not </w:t>
            </w:r>
            <w:r w:rsidR="007B7D1B">
              <w:rPr>
                <w:rFonts w:ascii="Verdana" w:hAnsi="Verdana"/>
                <w:bCs/>
                <w:sz w:val="20"/>
                <w:szCs w:val="20"/>
              </w:rPr>
              <w:t xml:space="preserve">Part 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>D eligible</w:t>
            </w:r>
          </w:p>
        </w:tc>
        <w:tc>
          <w:tcPr>
            <w:tcW w:w="3942" w:type="dxa"/>
            <w:shd w:val="clear" w:color="auto" w:fill="auto"/>
          </w:tcPr>
          <w:p w14:paraId="4E7A374D" w14:textId="78593AD8" w:rsidR="001B131C" w:rsidRPr="001B131C" w:rsidRDefault="000233CA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PPO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F, IFP – F, Medicaid - F</w:t>
            </w:r>
          </w:p>
        </w:tc>
      </w:tr>
      <w:tr w:rsidR="001B131C" w:rsidRPr="00852F8C" w14:paraId="39C304A0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182ED8F4" w14:textId="6216C5F1" w:rsidR="001B131C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>Opill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 (norgestrel) 0.075 mg tablet for contraception </w:t>
            </w:r>
          </w:p>
        </w:tc>
        <w:tc>
          <w:tcPr>
            <w:tcW w:w="4073" w:type="dxa"/>
            <w:shd w:val="clear" w:color="auto" w:fill="auto"/>
          </w:tcPr>
          <w:p w14:paraId="5845CDCC" w14:textId="2C7365D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OTC oral contraceptive. Adding for IFP and Medicaid in alignment with ACA. Not MedD eligible.</w:t>
            </w:r>
          </w:p>
        </w:tc>
        <w:tc>
          <w:tcPr>
            <w:tcW w:w="3942" w:type="dxa"/>
            <w:shd w:val="clear" w:color="auto" w:fill="auto"/>
          </w:tcPr>
          <w:p w14:paraId="08F4FE0E" w14:textId="1EC7B3A1" w:rsidR="001B131C" w:rsidRPr="001B131C" w:rsidRDefault="000233CA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Medicare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F, PPO –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F, IFP – F, Medicaid - F</w:t>
            </w:r>
          </w:p>
        </w:tc>
      </w:tr>
      <w:tr w:rsidR="001B131C" w:rsidRPr="00852F8C" w14:paraId="18477F86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75490AD4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sz w:val="20"/>
                <w:szCs w:val="20"/>
              </w:rPr>
              <w:t>Simlandi</w:t>
            </w: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 (adalimumab) </w:t>
            </w:r>
          </w:p>
          <w:p w14:paraId="0E31EBA1" w14:textId="1EB48A6A" w:rsidR="001B131C" w:rsidRPr="001B131C" w:rsidRDefault="001B131C" w:rsidP="005641F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 xml:space="preserve">40 mg/0.4 mL for various inflammatory conditions </w:t>
            </w:r>
          </w:p>
        </w:tc>
        <w:tc>
          <w:tcPr>
            <w:tcW w:w="4073" w:type="dxa"/>
            <w:shd w:val="clear" w:color="auto" w:fill="auto"/>
          </w:tcPr>
          <w:p w14:paraId="65D22AE2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B131C">
              <w:rPr>
                <w:rFonts w:ascii="Verdana" w:hAnsi="Verdana"/>
                <w:bCs/>
                <w:sz w:val="20"/>
                <w:szCs w:val="20"/>
              </w:rPr>
              <w:t>PDL controlled (not addressed yet). Not adding this biosimilar to other lines of business at this time.</w:t>
            </w:r>
          </w:p>
          <w:p w14:paraId="2C2947B8" w14:textId="77777777" w:rsidR="001B131C" w:rsidRPr="001B131C" w:rsidRDefault="001B131C" w:rsidP="001B131C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14:paraId="6D830300" w14:textId="77777777" w:rsidR="001B131C" w:rsidRPr="001B131C" w:rsidRDefault="001B131C" w:rsidP="001B131C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1B131C">
              <w:rPr>
                <w:rFonts w:ascii="Verdana" w:eastAsia="Times New Roman" w:hAnsi="Verdana" w:cs="Arial"/>
                <w:bCs/>
                <w:sz w:val="20"/>
                <w:szCs w:val="20"/>
              </w:rPr>
              <w:t>NF: all lines of business</w:t>
            </w:r>
          </w:p>
          <w:p w14:paraId="46B13B94" w14:textId="77777777" w:rsidR="001B131C" w:rsidRPr="001B131C" w:rsidRDefault="001B131C" w:rsidP="005641F0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</w:tr>
    </w:tbl>
    <w:p w14:paraId="1D317A5C" w14:textId="77777777" w:rsidR="00296E12" w:rsidRPr="00852F8C" w:rsidRDefault="00296E12" w:rsidP="00E32DDA">
      <w:pPr>
        <w:rPr>
          <w:rFonts w:ascii="Verdana" w:eastAsia="Times New Roman" w:hAnsi="Verdana" w:cs="Arial"/>
          <w:b/>
          <w:sz w:val="20"/>
          <w:szCs w:val="20"/>
        </w:rPr>
      </w:pPr>
      <w:bookmarkStart w:id="2" w:name="_Hlk65757423"/>
      <w:bookmarkEnd w:id="1"/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6E31" w:rsidRPr="00852F8C" w14:paraId="5A3864ED" w14:textId="77777777" w:rsidTr="0044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bookmarkEnd w:id="2"/>
          <w:p w14:paraId="661BF950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 w:val="0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 xml:space="preserve">Additional Items Reviewed </w:t>
            </w:r>
          </w:p>
        </w:tc>
      </w:tr>
    </w:tbl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0A6E31" w:rsidRPr="00852F8C" w14:paraId="4588D2D6" w14:textId="77777777" w:rsidTr="001C0339">
        <w:tc>
          <w:tcPr>
            <w:tcW w:w="2520" w:type="dxa"/>
          </w:tcPr>
          <w:p w14:paraId="4084C365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370" w:type="dxa"/>
          </w:tcPr>
          <w:p w14:paraId="4048D7BA" w14:textId="1A200632" w:rsidR="000A6E31" w:rsidRPr="00852F8C" w:rsidRDefault="00822707" w:rsidP="005247AA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Drugs with New Policies</w:t>
            </w:r>
          </w:p>
        </w:tc>
      </w:tr>
      <w:tr w:rsidR="00822707" w:rsidRPr="00852F8C" w14:paraId="689CEF80" w14:textId="77777777" w:rsidTr="00347888">
        <w:trPr>
          <w:trHeight w:val="377"/>
        </w:trPr>
        <w:tc>
          <w:tcPr>
            <w:tcW w:w="2520" w:type="dxa"/>
          </w:tcPr>
          <w:p w14:paraId="166089E0" w14:textId="42C025CB" w:rsidR="00822707" w:rsidRPr="00852F8C" w:rsidRDefault="00822707" w:rsidP="00822707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852F8C">
              <w:rPr>
                <w:rFonts w:ascii="Verdana" w:hAnsi="Verdana" w:cs="Times New Roman"/>
                <w:bCs/>
                <w:sz w:val="20"/>
                <w:szCs w:val="20"/>
              </w:rPr>
              <w:t>New Medical Drug Policies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296EF6">
              <w:rPr>
                <w:rFonts w:ascii="Verdana" w:hAnsi="Verdana" w:cs="Times New Roman"/>
                <w:bCs/>
                <w:sz w:val="20"/>
                <w:szCs w:val="20"/>
              </w:rPr>
              <w:t xml:space="preserve">(effective </w:t>
            </w:r>
            <w:r w:rsidR="001B131C">
              <w:rPr>
                <w:rFonts w:ascii="Verdana" w:hAnsi="Verdana" w:cs="Times New Roman"/>
                <w:bCs/>
                <w:sz w:val="20"/>
                <w:szCs w:val="20"/>
              </w:rPr>
              <w:t>07/01</w:t>
            </w:r>
            <w:r w:rsidRPr="000D21C7">
              <w:rPr>
                <w:rFonts w:ascii="Verdana" w:hAnsi="Verdana" w:cs="Times New Roman"/>
                <w:bCs/>
                <w:sz w:val="20"/>
                <w:szCs w:val="20"/>
              </w:rPr>
              <w:t>/2024</w:t>
            </w:r>
            <w:r w:rsidRPr="00296EF6">
              <w:rPr>
                <w:rFonts w:ascii="Verdana" w:hAnsi="Verdana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370" w:type="dxa"/>
          </w:tcPr>
          <w:p w14:paraId="1096147E" w14:textId="130084D1" w:rsidR="00AB7540" w:rsidRPr="001B131C" w:rsidRDefault="001B131C" w:rsidP="001B131C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Ycanth</w:t>
            </w:r>
          </w:p>
        </w:tc>
      </w:tr>
    </w:tbl>
    <w:p w14:paraId="4396F646" w14:textId="77777777" w:rsidR="004A4967" w:rsidRPr="0008291B" w:rsidRDefault="004A4967" w:rsidP="004A4967">
      <w:pPr>
        <w:rPr>
          <w:rFonts w:ascii="Verdana" w:eastAsia="Times New Roman" w:hAnsi="Verdana" w:cs="Arial"/>
          <w:sz w:val="20"/>
          <w:szCs w:val="20"/>
        </w:rPr>
      </w:pPr>
    </w:p>
    <w:sectPr w:rsidR="004A4967" w:rsidRPr="0008291B" w:rsidSect="00E70EBB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6F1D" w14:textId="77777777" w:rsidR="001E0B7A" w:rsidRDefault="001E0B7A">
      <w:r>
        <w:separator/>
      </w:r>
    </w:p>
  </w:endnote>
  <w:endnote w:type="continuationSeparator" w:id="0">
    <w:p w14:paraId="00004FC0" w14:textId="77777777" w:rsidR="001E0B7A" w:rsidRDefault="001E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973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9AB9F" w14:textId="223CE295" w:rsidR="00E24624" w:rsidRDefault="00E246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F77D4" w14:textId="44197675" w:rsidR="003F1B83" w:rsidRPr="00E24624" w:rsidRDefault="003F1B83" w:rsidP="00E24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04DA" w14:textId="77777777" w:rsidR="001E0B7A" w:rsidRDefault="001E0B7A">
      <w:r>
        <w:separator/>
      </w:r>
    </w:p>
  </w:footnote>
  <w:footnote w:type="continuationSeparator" w:id="0">
    <w:p w14:paraId="48C996A1" w14:textId="77777777" w:rsidR="001E0B7A" w:rsidRDefault="001E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51D4" w14:textId="19B38D68" w:rsidR="003F1B83" w:rsidRDefault="003F1B83" w:rsidP="007813ED">
    <w:pPr>
      <w:spacing w:before="24"/>
      <w:ind w:right="-20"/>
      <w:jc w:val="center"/>
      <w:rPr>
        <w:rFonts w:ascii="Verdana" w:hAnsi="Verdana"/>
        <w:b/>
        <w:noProof/>
        <w:sz w:val="28"/>
        <w:szCs w:val="28"/>
      </w:rPr>
    </w:pPr>
    <w:r w:rsidRPr="007813ED">
      <w:rPr>
        <w:rFonts w:ascii="Verdana" w:hAnsi="Verdana"/>
        <w:i/>
        <w:iCs/>
        <w:noProof/>
        <w:color w:val="1F497D"/>
        <w:sz w:val="28"/>
        <w:szCs w:val="28"/>
      </w:rPr>
      <w:drawing>
        <wp:anchor distT="0" distB="0" distL="114300" distR="114300" simplePos="0" relativeHeight="251659264" behindDoc="0" locked="0" layoutInCell="1" allowOverlap="1" wp14:anchorId="435F0FDD" wp14:editId="4F530742">
          <wp:simplePos x="0" y="0"/>
          <wp:positionH relativeFrom="margin">
            <wp:posOffset>-352425</wp:posOffset>
          </wp:positionH>
          <wp:positionV relativeFrom="paragraph">
            <wp:posOffset>-336550</wp:posOffset>
          </wp:positionV>
          <wp:extent cx="1914525" cy="400050"/>
          <wp:effectExtent l="0" t="0" r="9525" b="0"/>
          <wp:wrapNone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5AC958" w14:textId="7E129E08" w:rsidR="003F1B83" w:rsidRPr="00C06728" w:rsidRDefault="00E7797F" w:rsidP="00080E04">
    <w:pPr>
      <w:spacing w:before="24"/>
      <w:ind w:right="-20"/>
      <w:jc w:val="center"/>
      <w:rPr>
        <w:rFonts w:ascii="Verdana" w:hAnsi="Verdana"/>
        <w:b/>
        <w:noProof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t>April</w:t>
    </w:r>
    <w:r w:rsidR="00455328">
      <w:rPr>
        <w:rFonts w:ascii="Verdana" w:hAnsi="Verdana"/>
        <w:b/>
        <w:noProof/>
        <w:sz w:val="24"/>
        <w:szCs w:val="24"/>
      </w:rPr>
      <w:t xml:space="preserve"> 202</w:t>
    </w:r>
    <w:r w:rsidR="007F3F30">
      <w:rPr>
        <w:rFonts w:ascii="Verdana" w:hAnsi="Verdana"/>
        <w:b/>
        <w:noProof/>
        <w:sz w:val="24"/>
        <w:szCs w:val="24"/>
      </w:rPr>
      <w:t>4</w:t>
    </w:r>
    <w:r w:rsidR="003F1B83"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 xml:space="preserve"> Pharmacy &amp; </w:t>
    </w:r>
    <w:r w:rsidR="003F1B83" w:rsidRPr="00C06728">
      <w:rPr>
        <w:rFonts w:ascii="Verdana" w:eastAsia="Times New Roman" w:hAnsi="Verdana" w:cs="Times New Roman"/>
        <w:b/>
        <w:bCs/>
        <w:sz w:val="24"/>
        <w:szCs w:val="24"/>
      </w:rPr>
      <w:t>Therapeutics</w:t>
    </w:r>
  </w:p>
  <w:p w14:paraId="3AEB01D9" w14:textId="19FDB444" w:rsidR="003F1B83" w:rsidRDefault="003F1B83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  <w:r w:rsidRPr="00C06728">
      <w:rPr>
        <w:rFonts w:ascii="Verdana" w:eastAsia="Times New Roman" w:hAnsi="Verdana" w:cs="Times New Roman"/>
        <w:b/>
        <w:bCs/>
        <w:spacing w:val="-2"/>
        <w:sz w:val="24"/>
        <w:szCs w:val="24"/>
      </w:rPr>
      <w:t>C</w:t>
    </w:r>
    <w:r w:rsidRPr="00C06728">
      <w:rPr>
        <w:rFonts w:ascii="Verdana" w:eastAsia="Times New Roman" w:hAnsi="Verdana" w:cs="Times New Roman"/>
        <w:b/>
        <w:bCs/>
        <w:spacing w:val="2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 xml:space="preserve">ttee 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D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ec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s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n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s</w:t>
    </w:r>
  </w:p>
  <w:p w14:paraId="34F965A0" w14:textId="77777777" w:rsidR="005D7E74" w:rsidRDefault="005D7E74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1C6"/>
    <w:multiLevelType w:val="hybridMultilevel"/>
    <w:tmpl w:val="F64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2EC"/>
    <w:multiLevelType w:val="hybridMultilevel"/>
    <w:tmpl w:val="68F8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35D38"/>
    <w:multiLevelType w:val="hybridMultilevel"/>
    <w:tmpl w:val="2686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6A66"/>
    <w:multiLevelType w:val="hybridMultilevel"/>
    <w:tmpl w:val="34D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17E23"/>
    <w:multiLevelType w:val="hybridMultilevel"/>
    <w:tmpl w:val="CF660648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376BE"/>
    <w:multiLevelType w:val="hybridMultilevel"/>
    <w:tmpl w:val="3F1C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F4BCF"/>
    <w:multiLevelType w:val="hybridMultilevel"/>
    <w:tmpl w:val="164E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2C06"/>
    <w:multiLevelType w:val="hybridMultilevel"/>
    <w:tmpl w:val="24FC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04331"/>
    <w:multiLevelType w:val="hybridMultilevel"/>
    <w:tmpl w:val="0A2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449C"/>
    <w:multiLevelType w:val="hybridMultilevel"/>
    <w:tmpl w:val="3A4A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E7BD8"/>
    <w:multiLevelType w:val="hybridMultilevel"/>
    <w:tmpl w:val="6784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7C42"/>
    <w:multiLevelType w:val="hybridMultilevel"/>
    <w:tmpl w:val="9E0E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F34CA"/>
    <w:multiLevelType w:val="hybridMultilevel"/>
    <w:tmpl w:val="D518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935C1"/>
    <w:multiLevelType w:val="hybridMultilevel"/>
    <w:tmpl w:val="B9046FD0"/>
    <w:lvl w:ilvl="0" w:tplc="6D026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835DF"/>
    <w:multiLevelType w:val="hybridMultilevel"/>
    <w:tmpl w:val="BA2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96192"/>
    <w:multiLevelType w:val="hybridMultilevel"/>
    <w:tmpl w:val="C0C4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522D"/>
    <w:multiLevelType w:val="hybridMultilevel"/>
    <w:tmpl w:val="C242F7C8"/>
    <w:lvl w:ilvl="0" w:tplc="76FC13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EDF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0B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C9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2D2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A1A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CC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2F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EBB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248511A"/>
    <w:multiLevelType w:val="hybridMultilevel"/>
    <w:tmpl w:val="347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92DCC"/>
    <w:multiLevelType w:val="hybridMultilevel"/>
    <w:tmpl w:val="2A4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D6BC1"/>
    <w:multiLevelType w:val="hybridMultilevel"/>
    <w:tmpl w:val="512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C507C"/>
    <w:multiLevelType w:val="hybridMultilevel"/>
    <w:tmpl w:val="D49E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14A70"/>
    <w:multiLevelType w:val="hybridMultilevel"/>
    <w:tmpl w:val="0D6C3062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2407D42"/>
    <w:multiLevelType w:val="hybridMultilevel"/>
    <w:tmpl w:val="D918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B3463"/>
    <w:multiLevelType w:val="hybridMultilevel"/>
    <w:tmpl w:val="0116FED6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412A8"/>
    <w:multiLevelType w:val="hybridMultilevel"/>
    <w:tmpl w:val="4382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64065"/>
    <w:multiLevelType w:val="hybridMultilevel"/>
    <w:tmpl w:val="1F50C03C"/>
    <w:lvl w:ilvl="0" w:tplc="DF3CB18E">
      <w:start w:val="1"/>
      <w:numFmt w:val="decimal"/>
      <w:suff w:val="nothing"/>
      <w:lvlText w:val="%1."/>
      <w:lvlJc w:val="left"/>
      <w:pPr>
        <w:ind w:left="0" w:firstLine="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35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3272A"/>
    <w:multiLevelType w:val="hybridMultilevel"/>
    <w:tmpl w:val="7122C8E2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7" w15:restartNumberingAfterBreak="0">
    <w:nsid w:val="6F2106AB"/>
    <w:multiLevelType w:val="hybridMultilevel"/>
    <w:tmpl w:val="D6C6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81CA9"/>
    <w:multiLevelType w:val="hybridMultilevel"/>
    <w:tmpl w:val="706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749E3"/>
    <w:multiLevelType w:val="hybridMultilevel"/>
    <w:tmpl w:val="C4FE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0779">
    <w:abstractNumId w:val="24"/>
  </w:num>
  <w:num w:numId="2" w16cid:durableId="1978099830">
    <w:abstractNumId w:val="26"/>
  </w:num>
  <w:num w:numId="3" w16cid:durableId="1002123467">
    <w:abstractNumId w:val="10"/>
  </w:num>
  <w:num w:numId="4" w16cid:durableId="32199846">
    <w:abstractNumId w:val="1"/>
  </w:num>
  <w:num w:numId="5" w16cid:durableId="197477088">
    <w:abstractNumId w:val="8"/>
  </w:num>
  <w:num w:numId="6" w16cid:durableId="1379547306">
    <w:abstractNumId w:val="17"/>
  </w:num>
  <w:num w:numId="7" w16cid:durableId="919951421">
    <w:abstractNumId w:val="9"/>
  </w:num>
  <w:num w:numId="8" w16cid:durableId="63340024">
    <w:abstractNumId w:val="7"/>
  </w:num>
  <w:num w:numId="9" w16cid:durableId="219295041">
    <w:abstractNumId w:val="13"/>
  </w:num>
  <w:num w:numId="10" w16cid:durableId="1379088175">
    <w:abstractNumId w:val="19"/>
  </w:num>
  <w:num w:numId="11" w16cid:durableId="1358458559">
    <w:abstractNumId w:val="29"/>
  </w:num>
  <w:num w:numId="12" w16cid:durableId="832255705">
    <w:abstractNumId w:val="6"/>
  </w:num>
  <w:num w:numId="13" w16cid:durableId="1048648586">
    <w:abstractNumId w:val="21"/>
  </w:num>
  <w:num w:numId="14" w16cid:durableId="865485552">
    <w:abstractNumId w:val="23"/>
  </w:num>
  <w:num w:numId="15" w16cid:durableId="40174074">
    <w:abstractNumId w:val="4"/>
  </w:num>
  <w:num w:numId="16" w16cid:durableId="816722650">
    <w:abstractNumId w:val="0"/>
  </w:num>
  <w:num w:numId="17" w16cid:durableId="345718672">
    <w:abstractNumId w:val="15"/>
  </w:num>
  <w:num w:numId="18" w16cid:durableId="1082531695">
    <w:abstractNumId w:val="20"/>
  </w:num>
  <w:num w:numId="19" w16cid:durableId="1500077621">
    <w:abstractNumId w:val="3"/>
  </w:num>
  <w:num w:numId="20" w16cid:durableId="1599602900">
    <w:abstractNumId w:val="14"/>
  </w:num>
  <w:num w:numId="21" w16cid:durableId="1137836206">
    <w:abstractNumId w:val="28"/>
  </w:num>
  <w:num w:numId="22" w16cid:durableId="1030061509">
    <w:abstractNumId w:val="27"/>
  </w:num>
  <w:num w:numId="23" w16cid:durableId="753742264">
    <w:abstractNumId w:val="11"/>
  </w:num>
  <w:num w:numId="24" w16cid:durableId="1871331762">
    <w:abstractNumId w:val="25"/>
  </w:num>
  <w:num w:numId="25" w16cid:durableId="1879584921">
    <w:abstractNumId w:val="5"/>
  </w:num>
  <w:num w:numId="26" w16cid:durableId="2136289971">
    <w:abstractNumId w:val="16"/>
  </w:num>
  <w:num w:numId="27" w16cid:durableId="462622952">
    <w:abstractNumId w:val="18"/>
  </w:num>
  <w:num w:numId="28" w16cid:durableId="1422722459">
    <w:abstractNumId w:val="12"/>
  </w:num>
  <w:num w:numId="29" w16cid:durableId="1953781632">
    <w:abstractNumId w:val="2"/>
  </w:num>
  <w:num w:numId="30" w16cid:durableId="249388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6F"/>
    <w:rsid w:val="00001331"/>
    <w:rsid w:val="00013B7E"/>
    <w:rsid w:val="00015A48"/>
    <w:rsid w:val="000233CA"/>
    <w:rsid w:val="000276E5"/>
    <w:rsid w:val="00027B5D"/>
    <w:rsid w:val="0003103B"/>
    <w:rsid w:val="00041EE0"/>
    <w:rsid w:val="00042572"/>
    <w:rsid w:val="0005112F"/>
    <w:rsid w:val="0005632B"/>
    <w:rsid w:val="00062D9B"/>
    <w:rsid w:val="00072DE3"/>
    <w:rsid w:val="000762F7"/>
    <w:rsid w:val="00077220"/>
    <w:rsid w:val="00080E04"/>
    <w:rsid w:val="0008291B"/>
    <w:rsid w:val="0008523F"/>
    <w:rsid w:val="000863CE"/>
    <w:rsid w:val="00090CB6"/>
    <w:rsid w:val="000A29D3"/>
    <w:rsid w:val="000A3A58"/>
    <w:rsid w:val="000A6E31"/>
    <w:rsid w:val="000B1E4B"/>
    <w:rsid w:val="000B377F"/>
    <w:rsid w:val="000B6BBD"/>
    <w:rsid w:val="000C0DF2"/>
    <w:rsid w:val="000C1AED"/>
    <w:rsid w:val="000C5531"/>
    <w:rsid w:val="000D21C7"/>
    <w:rsid w:val="000E3555"/>
    <w:rsid w:val="000E718C"/>
    <w:rsid w:val="000E7E43"/>
    <w:rsid w:val="000F3657"/>
    <w:rsid w:val="00103223"/>
    <w:rsid w:val="00111747"/>
    <w:rsid w:val="00113BFC"/>
    <w:rsid w:val="00123683"/>
    <w:rsid w:val="00123A36"/>
    <w:rsid w:val="00153FC2"/>
    <w:rsid w:val="00154175"/>
    <w:rsid w:val="0016796B"/>
    <w:rsid w:val="001679C6"/>
    <w:rsid w:val="001737B3"/>
    <w:rsid w:val="00173929"/>
    <w:rsid w:val="00174C58"/>
    <w:rsid w:val="001762D1"/>
    <w:rsid w:val="00181BB5"/>
    <w:rsid w:val="001877A4"/>
    <w:rsid w:val="001A5644"/>
    <w:rsid w:val="001A7D1B"/>
    <w:rsid w:val="001B05E8"/>
    <w:rsid w:val="001B131C"/>
    <w:rsid w:val="001B671E"/>
    <w:rsid w:val="001B70F1"/>
    <w:rsid w:val="001C0339"/>
    <w:rsid w:val="001C4424"/>
    <w:rsid w:val="001C6A3A"/>
    <w:rsid w:val="001D1C4F"/>
    <w:rsid w:val="001E0B7A"/>
    <w:rsid w:val="001E24D2"/>
    <w:rsid w:val="001E373C"/>
    <w:rsid w:val="001E756A"/>
    <w:rsid w:val="001F15E8"/>
    <w:rsid w:val="00200C5D"/>
    <w:rsid w:val="0020307C"/>
    <w:rsid w:val="00217B3A"/>
    <w:rsid w:val="00222189"/>
    <w:rsid w:val="00224305"/>
    <w:rsid w:val="002248EA"/>
    <w:rsid w:val="00227DA7"/>
    <w:rsid w:val="0023110B"/>
    <w:rsid w:val="00240902"/>
    <w:rsid w:val="002530EB"/>
    <w:rsid w:val="00254712"/>
    <w:rsid w:val="00263AA5"/>
    <w:rsid w:val="00276D88"/>
    <w:rsid w:val="002776D4"/>
    <w:rsid w:val="00282F97"/>
    <w:rsid w:val="00286B01"/>
    <w:rsid w:val="00287036"/>
    <w:rsid w:val="00291916"/>
    <w:rsid w:val="00296E12"/>
    <w:rsid w:val="00296EF6"/>
    <w:rsid w:val="002A5AA8"/>
    <w:rsid w:val="002B26A4"/>
    <w:rsid w:val="002B3F56"/>
    <w:rsid w:val="002C7005"/>
    <w:rsid w:val="002D282C"/>
    <w:rsid w:val="002E3600"/>
    <w:rsid w:val="002E4598"/>
    <w:rsid w:val="00300359"/>
    <w:rsid w:val="00303B44"/>
    <w:rsid w:val="0030564B"/>
    <w:rsid w:val="0031220E"/>
    <w:rsid w:val="0031642B"/>
    <w:rsid w:val="003167C3"/>
    <w:rsid w:val="00320E7E"/>
    <w:rsid w:val="0032109D"/>
    <w:rsid w:val="00326070"/>
    <w:rsid w:val="0033413B"/>
    <w:rsid w:val="003357F7"/>
    <w:rsid w:val="00342BF8"/>
    <w:rsid w:val="00347603"/>
    <w:rsid w:val="00347888"/>
    <w:rsid w:val="00350CBF"/>
    <w:rsid w:val="00352182"/>
    <w:rsid w:val="00357691"/>
    <w:rsid w:val="003628BE"/>
    <w:rsid w:val="003637F1"/>
    <w:rsid w:val="003718D1"/>
    <w:rsid w:val="00374925"/>
    <w:rsid w:val="0037536D"/>
    <w:rsid w:val="0037683E"/>
    <w:rsid w:val="0037686F"/>
    <w:rsid w:val="00376CD6"/>
    <w:rsid w:val="00377322"/>
    <w:rsid w:val="0038015B"/>
    <w:rsid w:val="003847EC"/>
    <w:rsid w:val="00393788"/>
    <w:rsid w:val="00393F0F"/>
    <w:rsid w:val="003A2BC8"/>
    <w:rsid w:val="003A2FBC"/>
    <w:rsid w:val="003B6BD2"/>
    <w:rsid w:val="003C216A"/>
    <w:rsid w:val="003C30B6"/>
    <w:rsid w:val="003C4DD7"/>
    <w:rsid w:val="003D089B"/>
    <w:rsid w:val="003D0A4A"/>
    <w:rsid w:val="003E5867"/>
    <w:rsid w:val="003F1B83"/>
    <w:rsid w:val="003F605C"/>
    <w:rsid w:val="00400E1D"/>
    <w:rsid w:val="00405517"/>
    <w:rsid w:val="00407397"/>
    <w:rsid w:val="00411EE3"/>
    <w:rsid w:val="004178F5"/>
    <w:rsid w:val="004265F7"/>
    <w:rsid w:val="00440BB7"/>
    <w:rsid w:val="0044162D"/>
    <w:rsid w:val="004430D3"/>
    <w:rsid w:val="00443AD2"/>
    <w:rsid w:val="00443D2D"/>
    <w:rsid w:val="00443FD7"/>
    <w:rsid w:val="004471A0"/>
    <w:rsid w:val="00453C40"/>
    <w:rsid w:val="00455328"/>
    <w:rsid w:val="00455724"/>
    <w:rsid w:val="0045729E"/>
    <w:rsid w:val="00460EDB"/>
    <w:rsid w:val="00463796"/>
    <w:rsid w:val="004878FB"/>
    <w:rsid w:val="0049166B"/>
    <w:rsid w:val="004934D4"/>
    <w:rsid w:val="004971A5"/>
    <w:rsid w:val="004A3F96"/>
    <w:rsid w:val="004A4967"/>
    <w:rsid w:val="004B468F"/>
    <w:rsid w:val="004B4A2D"/>
    <w:rsid w:val="004B5320"/>
    <w:rsid w:val="004B7440"/>
    <w:rsid w:val="004C1325"/>
    <w:rsid w:val="004C1625"/>
    <w:rsid w:val="004C1E77"/>
    <w:rsid w:val="004C5F89"/>
    <w:rsid w:val="004C78BE"/>
    <w:rsid w:val="004D093E"/>
    <w:rsid w:val="004D176F"/>
    <w:rsid w:val="004D5183"/>
    <w:rsid w:val="004D6922"/>
    <w:rsid w:val="004E6FF6"/>
    <w:rsid w:val="004F2F90"/>
    <w:rsid w:val="004F5834"/>
    <w:rsid w:val="004F7C78"/>
    <w:rsid w:val="00501F1C"/>
    <w:rsid w:val="00507646"/>
    <w:rsid w:val="00511917"/>
    <w:rsid w:val="00523363"/>
    <w:rsid w:val="005247AA"/>
    <w:rsid w:val="0053124A"/>
    <w:rsid w:val="005471DD"/>
    <w:rsid w:val="00552179"/>
    <w:rsid w:val="005607E2"/>
    <w:rsid w:val="005641F0"/>
    <w:rsid w:val="00567170"/>
    <w:rsid w:val="00570471"/>
    <w:rsid w:val="005842E0"/>
    <w:rsid w:val="005919AE"/>
    <w:rsid w:val="005923D0"/>
    <w:rsid w:val="00595206"/>
    <w:rsid w:val="00596B6A"/>
    <w:rsid w:val="005A0F54"/>
    <w:rsid w:val="005A4597"/>
    <w:rsid w:val="005A54CD"/>
    <w:rsid w:val="005A7171"/>
    <w:rsid w:val="005B07DA"/>
    <w:rsid w:val="005B6F69"/>
    <w:rsid w:val="005C2E2A"/>
    <w:rsid w:val="005C6C17"/>
    <w:rsid w:val="005C7E4C"/>
    <w:rsid w:val="005D02FA"/>
    <w:rsid w:val="005D0AD5"/>
    <w:rsid w:val="005D5A8C"/>
    <w:rsid w:val="005D7E74"/>
    <w:rsid w:val="005E2989"/>
    <w:rsid w:val="005E716D"/>
    <w:rsid w:val="005E7889"/>
    <w:rsid w:val="005F2A5F"/>
    <w:rsid w:val="005F3EFF"/>
    <w:rsid w:val="0060264F"/>
    <w:rsid w:val="0062160D"/>
    <w:rsid w:val="006223BC"/>
    <w:rsid w:val="00630D15"/>
    <w:rsid w:val="00631DE6"/>
    <w:rsid w:val="00632618"/>
    <w:rsid w:val="0063466E"/>
    <w:rsid w:val="0063560A"/>
    <w:rsid w:val="0063773D"/>
    <w:rsid w:val="006411FC"/>
    <w:rsid w:val="00644FCA"/>
    <w:rsid w:val="00646B34"/>
    <w:rsid w:val="00647476"/>
    <w:rsid w:val="00651BDB"/>
    <w:rsid w:val="00651F73"/>
    <w:rsid w:val="00653C33"/>
    <w:rsid w:val="00654666"/>
    <w:rsid w:val="0065705C"/>
    <w:rsid w:val="006623BA"/>
    <w:rsid w:val="0066383F"/>
    <w:rsid w:val="006678A7"/>
    <w:rsid w:val="00670D60"/>
    <w:rsid w:val="00672217"/>
    <w:rsid w:val="006732A8"/>
    <w:rsid w:val="006746EE"/>
    <w:rsid w:val="006804D8"/>
    <w:rsid w:val="00684C33"/>
    <w:rsid w:val="00690B16"/>
    <w:rsid w:val="006935BF"/>
    <w:rsid w:val="0069703B"/>
    <w:rsid w:val="006977BA"/>
    <w:rsid w:val="006A5737"/>
    <w:rsid w:val="006B16C1"/>
    <w:rsid w:val="006C6F0C"/>
    <w:rsid w:val="006D3FF4"/>
    <w:rsid w:val="006E7EE6"/>
    <w:rsid w:val="006F3BD7"/>
    <w:rsid w:val="006F62E8"/>
    <w:rsid w:val="007010BB"/>
    <w:rsid w:val="007044D6"/>
    <w:rsid w:val="00705890"/>
    <w:rsid w:val="00710E9D"/>
    <w:rsid w:val="00723809"/>
    <w:rsid w:val="0073440C"/>
    <w:rsid w:val="0073594F"/>
    <w:rsid w:val="00741038"/>
    <w:rsid w:val="00752274"/>
    <w:rsid w:val="007523CA"/>
    <w:rsid w:val="00755911"/>
    <w:rsid w:val="007575C7"/>
    <w:rsid w:val="00760FBC"/>
    <w:rsid w:val="00761F43"/>
    <w:rsid w:val="00762CBA"/>
    <w:rsid w:val="00764303"/>
    <w:rsid w:val="00765246"/>
    <w:rsid w:val="00766DC0"/>
    <w:rsid w:val="00776016"/>
    <w:rsid w:val="007813ED"/>
    <w:rsid w:val="00791941"/>
    <w:rsid w:val="007977D3"/>
    <w:rsid w:val="007A2D68"/>
    <w:rsid w:val="007A2E41"/>
    <w:rsid w:val="007A586C"/>
    <w:rsid w:val="007A7913"/>
    <w:rsid w:val="007A7E74"/>
    <w:rsid w:val="007B7D1B"/>
    <w:rsid w:val="007C152F"/>
    <w:rsid w:val="007D11A0"/>
    <w:rsid w:val="007D1D6A"/>
    <w:rsid w:val="007D3B4E"/>
    <w:rsid w:val="007D59EC"/>
    <w:rsid w:val="007D7099"/>
    <w:rsid w:val="007D7F52"/>
    <w:rsid w:val="007E2C73"/>
    <w:rsid w:val="007F3F30"/>
    <w:rsid w:val="007F4708"/>
    <w:rsid w:val="007F475C"/>
    <w:rsid w:val="007F5D21"/>
    <w:rsid w:val="00810A35"/>
    <w:rsid w:val="0081196F"/>
    <w:rsid w:val="008146C0"/>
    <w:rsid w:val="00814D6B"/>
    <w:rsid w:val="00814EE1"/>
    <w:rsid w:val="00820934"/>
    <w:rsid w:val="00822707"/>
    <w:rsid w:val="00832DF6"/>
    <w:rsid w:val="00832EB0"/>
    <w:rsid w:val="00837406"/>
    <w:rsid w:val="00843F92"/>
    <w:rsid w:val="00844266"/>
    <w:rsid w:val="00844806"/>
    <w:rsid w:val="00852F8C"/>
    <w:rsid w:val="008615D7"/>
    <w:rsid w:val="0086202F"/>
    <w:rsid w:val="00870C50"/>
    <w:rsid w:val="00873F95"/>
    <w:rsid w:val="008747E1"/>
    <w:rsid w:val="00875379"/>
    <w:rsid w:val="00876EFE"/>
    <w:rsid w:val="00876F27"/>
    <w:rsid w:val="00886C6D"/>
    <w:rsid w:val="00886F40"/>
    <w:rsid w:val="008907FC"/>
    <w:rsid w:val="0089593C"/>
    <w:rsid w:val="008A03E8"/>
    <w:rsid w:val="008A3424"/>
    <w:rsid w:val="008B1C3E"/>
    <w:rsid w:val="008B2543"/>
    <w:rsid w:val="008B2789"/>
    <w:rsid w:val="008D2E75"/>
    <w:rsid w:val="008D34C4"/>
    <w:rsid w:val="008D566F"/>
    <w:rsid w:val="008E2C56"/>
    <w:rsid w:val="008E332C"/>
    <w:rsid w:val="008E4E86"/>
    <w:rsid w:val="008E57B6"/>
    <w:rsid w:val="008F2FB5"/>
    <w:rsid w:val="008F582F"/>
    <w:rsid w:val="00901C99"/>
    <w:rsid w:val="00901F72"/>
    <w:rsid w:val="00906017"/>
    <w:rsid w:val="00911CE5"/>
    <w:rsid w:val="00911DEB"/>
    <w:rsid w:val="00914400"/>
    <w:rsid w:val="00914747"/>
    <w:rsid w:val="0091573D"/>
    <w:rsid w:val="00920315"/>
    <w:rsid w:val="00934B10"/>
    <w:rsid w:val="00941DB4"/>
    <w:rsid w:val="0095205D"/>
    <w:rsid w:val="00956AB9"/>
    <w:rsid w:val="00964238"/>
    <w:rsid w:val="009645C1"/>
    <w:rsid w:val="00970958"/>
    <w:rsid w:val="00970C72"/>
    <w:rsid w:val="00970FE4"/>
    <w:rsid w:val="00972555"/>
    <w:rsid w:val="0097530B"/>
    <w:rsid w:val="00975A46"/>
    <w:rsid w:val="00976ECF"/>
    <w:rsid w:val="0098015B"/>
    <w:rsid w:val="009927A3"/>
    <w:rsid w:val="0099506A"/>
    <w:rsid w:val="00995073"/>
    <w:rsid w:val="009A191A"/>
    <w:rsid w:val="009A327F"/>
    <w:rsid w:val="009C12CD"/>
    <w:rsid w:val="009C2659"/>
    <w:rsid w:val="009E4205"/>
    <w:rsid w:val="009F5B06"/>
    <w:rsid w:val="00A005B8"/>
    <w:rsid w:val="00A02DD7"/>
    <w:rsid w:val="00A07721"/>
    <w:rsid w:val="00A12D85"/>
    <w:rsid w:val="00A1528B"/>
    <w:rsid w:val="00A164C4"/>
    <w:rsid w:val="00A201AE"/>
    <w:rsid w:val="00A22479"/>
    <w:rsid w:val="00A237A9"/>
    <w:rsid w:val="00A24C6C"/>
    <w:rsid w:val="00A30660"/>
    <w:rsid w:val="00A356E9"/>
    <w:rsid w:val="00A4706E"/>
    <w:rsid w:val="00A47147"/>
    <w:rsid w:val="00A54A60"/>
    <w:rsid w:val="00A640AB"/>
    <w:rsid w:val="00A66B54"/>
    <w:rsid w:val="00A829B7"/>
    <w:rsid w:val="00A82C92"/>
    <w:rsid w:val="00A84469"/>
    <w:rsid w:val="00AA2672"/>
    <w:rsid w:val="00AA31FF"/>
    <w:rsid w:val="00AB06B1"/>
    <w:rsid w:val="00AB0E4C"/>
    <w:rsid w:val="00AB1450"/>
    <w:rsid w:val="00AB6C97"/>
    <w:rsid w:val="00AB7540"/>
    <w:rsid w:val="00AC4968"/>
    <w:rsid w:val="00AD0D0C"/>
    <w:rsid w:val="00AD28A5"/>
    <w:rsid w:val="00AD333B"/>
    <w:rsid w:val="00AD34C7"/>
    <w:rsid w:val="00AD4610"/>
    <w:rsid w:val="00AD66FA"/>
    <w:rsid w:val="00AE1D31"/>
    <w:rsid w:val="00AE6351"/>
    <w:rsid w:val="00AE79B0"/>
    <w:rsid w:val="00AF0175"/>
    <w:rsid w:val="00AF18FE"/>
    <w:rsid w:val="00AF2228"/>
    <w:rsid w:val="00AF3556"/>
    <w:rsid w:val="00AF502D"/>
    <w:rsid w:val="00B15806"/>
    <w:rsid w:val="00B26334"/>
    <w:rsid w:val="00B341E2"/>
    <w:rsid w:val="00B42D27"/>
    <w:rsid w:val="00B452FC"/>
    <w:rsid w:val="00B45AD9"/>
    <w:rsid w:val="00B45B7C"/>
    <w:rsid w:val="00B53640"/>
    <w:rsid w:val="00B54FDE"/>
    <w:rsid w:val="00B552FE"/>
    <w:rsid w:val="00B76A29"/>
    <w:rsid w:val="00B80CEA"/>
    <w:rsid w:val="00B81F89"/>
    <w:rsid w:val="00B91F98"/>
    <w:rsid w:val="00B96566"/>
    <w:rsid w:val="00B969C8"/>
    <w:rsid w:val="00BA476A"/>
    <w:rsid w:val="00BA5EBF"/>
    <w:rsid w:val="00BA65CE"/>
    <w:rsid w:val="00BA6D19"/>
    <w:rsid w:val="00BA7E1A"/>
    <w:rsid w:val="00BB0FE6"/>
    <w:rsid w:val="00BB3847"/>
    <w:rsid w:val="00BB3E10"/>
    <w:rsid w:val="00BB7425"/>
    <w:rsid w:val="00BC0998"/>
    <w:rsid w:val="00BD0499"/>
    <w:rsid w:val="00BD0C1E"/>
    <w:rsid w:val="00BD1D0F"/>
    <w:rsid w:val="00BD4764"/>
    <w:rsid w:val="00BE479A"/>
    <w:rsid w:val="00C0196F"/>
    <w:rsid w:val="00C06728"/>
    <w:rsid w:val="00C10694"/>
    <w:rsid w:val="00C119D2"/>
    <w:rsid w:val="00C11ADE"/>
    <w:rsid w:val="00C2794E"/>
    <w:rsid w:val="00C3217C"/>
    <w:rsid w:val="00C32D5D"/>
    <w:rsid w:val="00C36463"/>
    <w:rsid w:val="00C45D79"/>
    <w:rsid w:val="00C534D5"/>
    <w:rsid w:val="00C53605"/>
    <w:rsid w:val="00C625FE"/>
    <w:rsid w:val="00C83FC4"/>
    <w:rsid w:val="00C908F5"/>
    <w:rsid w:val="00CA4C87"/>
    <w:rsid w:val="00CB1165"/>
    <w:rsid w:val="00CB7322"/>
    <w:rsid w:val="00CD33D9"/>
    <w:rsid w:val="00CD7CCD"/>
    <w:rsid w:val="00CE6933"/>
    <w:rsid w:val="00CF0AE6"/>
    <w:rsid w:val="00CF20AC"/>
    <w:rsid w:val="00CF3528"/>
    <w:rsid w:val="00D0156A"/>
    <w:rsid w:val="00D04062"/>
    <w:rsid w:val="00D05CEA"/>
    <w:rsid w:val="00D06B4E"/>
    <w:rsid w:val="00D149B9"/>
    <w:rsid w:val="00D20342"/>
    <w:rsid w:val="00D209F3"/>
    <w:rsid w:val="00D21FA9"/>
    <w:rsid w:val="00D2576D"/>
    <w:rsid w:val="00D26979"/>
    <w:rsid w:val="00D3175B"/>
    <w:rsid w:val="00D358CA"/>
    <w:rsid w:val="00D4079E"/>
    <w:rsid w:val="00D44906"/>
    <w:rsid w:val="00D46781"/>
    <w:rsid w:val="00D46C3A"/>
    <w:rsid w:val="00D476D1"/>
    <w:rsid w:val="00D5135F"/>
    <w:rsid w:val="00D57D61"/>
    <w:rsid w:val="00D633E8"/>
    <w:rsid w:val="00D80B16"/>
    <w:rsid w:val="00D84EC6"/>
    <w:rsid w:val="00D877F3"/>
    <w:rsid w:val="00D9015D"/>
    <w:rsid w:val="00DA2B74"/>
    <w:rsid w:val="00DA3259"/>
    <w:rsid w:val="00DB5D81"/>
    <w:rsid w:val="00DB6129"/>
    <w:rsid w:val="00DB76EA"/>
    <w:rsid w:val="00DC189A"/>
    <w:rsid w:val="00DC3D3E"/>
    <w:rsid w:val="00DC7D01"/>
    <w:rsid w:val="00DD7640"/>
    <w:rsid w:val="00DD7DA3"/>
    <w:rsid w:val="00DE063F"/>
    <w:rsid w:val="00DF0239"/>
    <w:rsid w:val="00DF3108"/>
    <w:rsid w:val="00E006EC"/>
    <w:rsid w:val="00E013CB"/>
    <w:rsid w:val="00E07AE9"/>
    <w:rsid w:val="00E13B43"/>
    <w:rsid w:val="00E15C2F"/>
    <w:rsid w:val="00E174F6"/>
    <w:rsid w:val="00E24624"/>
    <w:rsid w:val="00E319C1"/>
    <w:rsid w:val="00E32DDA"/>
    <w:rsid w:val="00E4366B"/>
    <w:rsid w:val="00E44EED"/>
    <w:rsid w:val="00E46327"/>
    <w:rsid w:val="00E474FD"/>
    <w:rsid w:val="00E54B19"/>
    <w:rsid w:val="00E70EBB"/>
    <w:rsid w:val="00E71DCB"/>
    <w:rsid w:val="00E73EAC"/>
    <w:rsid w:val="00E744C8"/>
    <w:rsid w:val="00E74BF6"/>
    <w:rsid w:val="00E7525F"/>
    <w:rsid w:val="00E77836"/>
    <w:rsid w:val="00E7797F"/>
    <w:rsid w:val="00E8102A"/>
    <w:rsid w:val="00E82183"/>
    <w:rsid w:val="00E84053"/>
    <w:rsid w:val="00E841AA"/>
    <w:rsid w:val="00E85C8E"/>
    <w:rsid w:val="00E864E7"/>
    <w:rsid w:val="00E902DB"/>
    <w:rsid w:val="00E91C92"/>
    <w:rsid w:val="00EA44A8"/>
    <w:rsid w:val="00EB661B"/>
    <w:rsid w:val="00EB71D7"/>
    <w:rsid w:val="00EC06CC"/>
    <w:rsid w:val="00EC703C"/>
    <w:rsid w:val="00ED320C"/>
    <w:rsid w:val="00EE322F"/>
    <w:rsid w:val="00EE634E"/>
    <w:rsid w:val="00F003A7"/>
    <w:rsid w:val="00F05FFE"/>
    <w:rsid w:val="00F15BF5"/>
    <w:rsid w:val="00F24DFC"/>
    <w:rsid w:val="00F31CE2"/>
    <w:rsid w:val="00F60FB8"/>
    <w:rsid w:val="00F73C1A"/>
    <w:rsid w:val="00F76C61"/>
    <w:rsid w:val="00F8644A"/>
    <w:rsid w:val="00F91E3D"/>
    <w:rsid w:val="00F926B2"/>
    <w:rsid w:val="00F965E0"/>
    <w:rsid w:val="00FA1D1E"/>
    <w:rsid w:val="00FA3D06"/>
    <w:rsid w:val="00FA49A1"/>
    <w:rsid w:val="00FA7C28"/>
    <w:rsid w:val="00FB3A36"/>
    <w:rsid w:val="00FB3F79"/>
    <w:rsid w:val="00FC051D"/>
    <w:rsid w:val="00FC4D27"/>
    <w:rsid w:val="00FC6389"/>
    <w:rsid w:val="00FD6E95"/>
    <w:rsid w:val="00FE05CF"/>
    <w:rsid w:val="00FE7640"/>
    <w:rsid w:val="00FF12F7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  <w14:docId w14:val="2789C8C4"/>
  <w15:docId w15:val="{D20B5484-1A6A-4CB2-9674-5051FC0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A35"/>
  </w:style>
  <w:style w:type="paragraph" w:styleId="Footer">
    <w:name w:val="footer"/>
    <w:basedOn w:val="Normal"/>
    <w:link w:val="Foot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A35"/>
  </w:style>
  <w:style w:type="table" w:styleId="TableGrid">
    <w:name w:val="Table Grid"/>
    <w:basedOn w:val="TableNormal"/>
    <w:uiPriority w:val="39"/>
    <w:rsid w:val="0055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5521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3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6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E8"/>
    <w:rPr>
      <w:b/>
      <w:bCs/>
      <w:sz w:val="20"/>
      <w:szCs w:val="20"/>
    </w:rPr>
  </w:style>
  <w:style w:type="paragraph" w:styleId="NoSpacing">
    <w:name w:val="No Spacing"/>
    <w:uiPriority w:val="1"/>
    <w:qFormat/>
    <w:rsid w:val="00A237A9"/>
  </w:style>
  <w:style w:type="paragraph" w:customStyle="1" w:styleId="Standard1">
    <w:name w:val="Standard1"/>
    <w:basedOn w:val="Normal"/>
    <w:rsid w:val="00374925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F9BD.419698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C65A-7379-4546-A0DC-209D82E6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 Som</dc:creator>
  <cp:keywords/>
  <dc:description/>
  <cp:lastModifiedBy>Chia Yang</cp:lastModifiedBy>
  <cp:revision>4</cp:revision>
  <cp:lastPrinted>2021-03-05T16:16:00Z</cp:lastPrinted>
  <dcterms:created xsi:type="dcterms:W3CDTF">2024-05-06T20:02:00Z</dcterms:created>
  <dcterms:modified xsi:type="dcterms:W3CDTF">2024-05-07T19:13:00Z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2014-10-08T00:00:00Z</vt:filetime>
  </property>
</Properties>
</file>